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A66" w14:textId="77777777" w:rsidR="00F966E8" w:rsidRDefault="00F966E8" w:rsidP="00A16BAA">
      <w:pPr>
        <w:pStyle w:val="NoSpacing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14:paraId="5DBEA0C7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752AD532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0741D661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03C9FA6B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769890AB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55F2D9FE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60A1D870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3BF9217F" w14:textId="77777777" w:rsidR="00B43C89" w:rsidRDefault="00707A54" w:rsidP="00A16BAA">
      <w:pPr>
        <w:pStyle w:val="NoSpacing"/>
        <w:jc w:val="center"/>
        <w:rPr>
          <w:b/>
          <w:sz w:val="36"/>
          <w:szCs w:val="36"/>
          <w:u w:val="single"/>
        </w:rPr>
      </w:pPr>
      <w:r w:rsidRPr="00B43C89">
        <w:rPr>
          <w:b/>
          <w:noProof/>
          <w:sz w:val="36"/>
          <w:szCs w:val="36"/>
          <w:lang w:eastAsia="en-GB"/>
        </w:rPr>
        <w:drawing>
          <wp:inline distT="0" distB="0" distL="0" distR="0" wp14:anchorId="678ABBFF" wp14:editId="505B1D39">
            <wp:extent cx="341947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plain-rever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D2B0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524D83B3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02C25B19" w14:textId="77777777" w:rsidR="00707A54" w:rsidRDefault="00707A54" w:rsidP="00142753">
      <w:pPr>
        <w:pStyle w:val="NoSpacing"/>
        <w:jc w:val="center"/>
        <w:rPr>
          <w:b/>
          <w:sz w:val="36"/>
          <w:szCs w:val="36"/>
        </w:rPr>
      </w:pPr>
    </w:p>
    <w:p w14:paraId="752D853A" w14:textId="7AB9D2CE" w:rsidR="00B43C89" w:rsidRDefault="00142753" w:rsidP="0014275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Compass Block Management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  <w:t>Fees and Charges</w:t>
      </w:r>
    </w:p>
    <w:p w14:paraId="45D9187B" w14:textId="6A2089B8" w:rsidR="00BE69C6" w:rsidRPr="00142753" w:rsidRDefault="00BE69C6" w:rsidP="0014275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</w:p>
    <w:p w14:paraId="6E5CF649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7F6134CB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4F334DB3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7E38B2E7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603430D1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4D41A727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6AB66C37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73626D24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22020540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429035CD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316CD33D" w14:textId="77777777" w:rsidR="00B43C89" w:rsidRDefault="00B43C89" w:rsidP="00707A54">
      <w:pPr>
        <w:pStyle w:val="NoSpacing"/>
        <w:rPr>
          <w:b/>
          <w:sz w:val="36"/>
          <w:szCs w:val="36"/>
          <w:u w:val="single"/>
        </w:rPr>
      </w:pPr>
    </w:p>
    <w:p w14:paraId="36F095DD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46B21CCC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3A078BF6" w14:textId="77777777" w:rsidR="00B43C89" w:rsidRDefault="00B43C89" w:rsidP="00A16BAA">
      <w:pPr>
        <w:pStyle w:val="NoSpacing"/>
        <w:jc w:val="center"/>
        <w:rPr>
          <w:b/>
          <w:sz w:val="36"/>
          <w:szCs w:val="36"/>
          <w:u w:val="single"/>
        </w:rPr>
      </w:pPr>
    </w:p>
    <w:p w14:paraId="4E912BA4" w14:textId="77777777" w:rsidR="00B43C89" w:rsidRDefault="00B43C89" w:rsidP="00142753">
      <w:pPr>
        <w:pStyle w:val="NoSpacing"/>
        <w:rPr>
          <w:b/>
          <w:sz w:val="36"/>
          <w:szCs w:val="36"/>
          <w:u w:val="single"/>
        </w:rPr>
      </w:pPr>
    </w:p>
    <w:p w14:paraId="32441329" w14:textId="77777777" w:rsidR="00142753" w:rsidRDefault="00142753" w:rsidP="00142753">
      <w:pPr>
        <w:pStyle w:val="NoSpacing"/>
        <w:rPr>
          <w:b/>
          <w:sz w:val="36"/>
          <w:szCs w:val="36"/>
          <w:u w:val="single"/>
        </w:rPr>
      </w:pPr>
    </w:p>
    <w:p w14:paraId="789FEAE7" w14:textId="77777777" w:rsidR="0071456E" w:rsidRPr="00113D53" w:rsidRDefault="00A16BAA" w:rsidP="00A16BAA">
      <w:pPr>
        <w:pStyle w:val="NoSpacing"/>
        <w:jc w:val="center"/>
        <w:rPr>
          <w:b/>
          <w:sz w:val="36"/>
          <w:szCs w:val="36"/>
          <w:u w:val="single"/>
        </w:rPr>
      </w:pPr>
      <w:r w:rsidRPr="00113D53">
        <w:rPr>
          <w:b/>
          <w:sz w:val="36"/>
          <w:szCs w:val="36"/>
          <w:u w:val="single"/>
        </w:rPr>
        <w:t>ADMINISTRATIVE CHARGES</w:t>
      </w:r>
    </w:p>
    <w:p w14:paraId="2A03860C" w14:textId="77777777" w:rsidR="00A16BAA" w:rsidRDefault="00A16BAA" w:rsidP="00A16BAA">
      <w:pPr>
        <w:pStyle w:val="NoSpacing"/>
        <w:jc w:val="center"/>
        <w:rPr>
          <w:b/>
          <w:sz w:val="28"/>
          <w:szCs w:val="28"/>
          <w:u w:val="single"/>
        </w:rPr>
      </w:pPr>
    </w:p>
    <w:p w14:paraId="643A4403" w14:textId="77777777" w:rsidR="00A16BAA" w:rsidRPr="00113D53" w:rsidRDefault="00A16BAA" w:rsidP="00A16BAA">
      <w:pPr>
        <w:pStyle w:val="NoSpacing"/>
        <w:jc w:val="center"/>
        <w:rPr>
          <w:b/>
          <w:sz w:val="32"/>
          <w:szCs w:val="32"/>
          <w:u w:val="single"/>
        </w:rPr>
      </w:pPr>
      <w:r w:rsidRPr="00113D53">
        <w:rPr>
          <w:b/>
          <w:sz w:val="32"/>
          <w:szCs w:val="32"/>
          <w:u w:val="single"/>
        </w:rPr>
        <w:t>Tariff</w:t>
      </w:r>
    </w:p>
    <w:p w14:paraId="2A501623" w14:textId="77777777" w:rsidR="00A16BAA" w:rsidRPr="00113D53" w:rsidRDefault="00A16BAA" w:rsidP="00A16BAA">
      <w:pPr>
        <w:pStyle w:val="NoSpacing"/>
        <w:jc w:val="center"/>
        <w:rPr>
          <w:b/>
          <w:sz w:val="28"/>
          <w:szCs w:val="28"/>
          <w:u w:val="single"/>
        </w:rPr>
      </w:pPr>
    </w:p>
    <w:p w14:paraId="5D6DF788" w14:textId="77777777" w:rsidR="00A16BAA" w:rsidRPr="00113D53" w:rsidRDefault="00A16BAA" w:rsidP="00A16BAA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1.</w:t>
      </w:r>
      <w:r w:rsidRPr="00113D53">
        <w:rPr>
          <w:b/>
          <w:sz w:val="28"/>
          <w:szCs w:val="28"/>
        </w:rPr>
        <w:tab/>
      </w:r>
      <w:r w:rsidR="00597847" w:rsidRPr="00113D53">
        <w:rPr>
          <w:b/>
          <w:sz w:val="28"/>
          <w:szCs w:val="28"/>
        </w:rPr>
        <w:t xml:space="preserve">Standard </w:t>
      </w:r>
      <w:r w:rsidRPr="00113D53">
        <w:rPr>
          <w:b/>
          <w:sz w:val="28"/>
          <w:szCs w:val="28"/>
        </w:rPr>
        <w:t>Leasehold Information</w:t>
      </w:r>
      <w:r w:rsidR="00E95AFD" w:rsidRPr="00113D53">
        <w:rPr>
          <w:b/>
          <w:sz w:val="28"/>
          <w:szCs w:val="28"/>
        </w:rPr>
        <w:t xml:space="preserve"> Pack</w:t>
      </w:r>
    </w:p>
    <w:p w14:paraId="5EBE0CCC" w14:textId="77777777" w:rsidR="00E95AFD" w:rsidRDefault="00E95AFD" w:rsidP="00A16BAA">
      <w:pPr>
        <w:pStyle w:val="NoSpacing"/>
        <w:jc w:val="both"/>
        <w:rPr>
          <w:sz w:val="24"/>
          <w:szCs w:val="24"/>
        </w:rPr>
      </w:pPr>
    </w:p>
    <w:p w14:paraId="3BFDD9A2" w14:textId="77777777" w:rsidR="00E95AFD" w:rsidRDefault="00E95AFD" w:rsidP="00A16BA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We aim to provide an information pack within 5 working days of receipt of payment.</w:t>
      </w:r>
    </w:p>
    <w:p w14:paraId="1492E86E" w14:textId="77777777" w:rsidR="00E95AFD" w:rsidRDefault="00E95AFD" w:rsidP="00A16BAA">
      <w:pPr>
        <w:pStyle w:val="NoSpacing"/>
        <w:jc w:val="both"/>
        <w:rPr>
          <w:sz w:val="24"/>
          <w:szCs w:val="24"/>
        </w:rPr>
      </w:pPr>
    </w:p>
    <w:p w14:paraId="62EB8FDD" w14:textId="77777777" w:rsidR="00E95AFD" w:rsidRDefault="00E95AFD" w:rsidP="00A16BA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Information to include: -</w:t>
      </w:r>
    </w:p>
    <w:p w14:paraId="01FAEB34" w14:textId="77777777" w:rsidR="00E95AFD" w:rsidRDefault="00E95AFD" w:rsidP="00A16BAA">
      <w:pPr>
        <w:pStyle w:val="NoSpacing"/>
        <w:jc w:val="both"/>
        <w:rPr>
          <w:sz w:val="24"/>
          <w:szCs w:val="24"/>
        </w:rPr>
      </w:pPr>
    </w:p>
    <w:p w14:paraId="121DDC2C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Answers to frequently asked questions regarding the development, covering topics such as the Lease &amp; Lease Parties, insurance, service charger, ground rent (if applicable), maintenance, expenditure and Notices.</w:t>
      </w:r>
    </w:p>
    <w:p w14:paraId="1E9432E5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charge accounts for the previous 3 years, where available.</w:t>
      </w:r>
    </w:p>
    <w:p w14:paraId="36713A6F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service charge budget.</w:t>
      </w:r>
    </w:p>
    <w:p w14:paraId="30DB737D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Insurance schedule/certi</w:t>
      </w:r>
      <w:r w:rsidR="00F966E8">
        <w:rPr>
          <w:sz w:val="24"/>
          <w:szCs w:val="24"/>
        </w:rPr>
        <w:t xml:space="preserve">ficate and policy or </w:t>
      </w:r>
      <w:r>
        <w:rPr>
          <w:sz w:val="24"/>
          <w:szCs w:val="24"/>
        </w:rPr>
        <w:t>cover</w:t>
      </w:r>
      <w:r w:rsidR="00F966E8">
        <w:rPr>
          <w:sz w:val="24"/>
          <w:szCs w:val="24"/>
        </w:rPr>
        <w:t xml:space="preserve"> summary</w:t>
      </w:r>
      <w:r>
        <w:rPr>
          <w:sz w:val="24"/>
          <w:szCs w:val="24"/>
        </w:rPr>
        <w:t>, where available.</w:t>
      </w:r>
    </w:p>
    <w:p w14:paraId="6DEA60F8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Memorandum &amp; Articles of Association for the Residents Management Company, if applicable.</w:t>
      </w:r>
    </w:p>
    <w:p w14:paraId="5396ECC6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Risk assessments, if applicable.</w:t>
      </w:r>
    </w:p>
    <w:p w14:paraId="60064A4F" w14:textId="77777777" w:rsidR="00E95AFD" w:rsidRDefault="00E95AFD" w:rsidP="00E95AF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Statement of Leaseholder’s service charge account.</w:t>
      </w:r>
    </w:p>
    <w:p w14:paraId="6C5DA57E" w14:textId="77777777" w:rsidR="00E95AFD" w:rsidRDefault="00E95AFD" w:rsidP="00E95AFD">
      <w:pPr>
        <w:pStyle w:val="NoSpacing"/>
        <w:jc w:val="both"/>
        <w:rPr>
          <w:sz w:val="24"/>
          <w:szCs w:val="24"/>
        </w:rPr>
      </w:pPr>
    </w:p>
    <w:p w14:paraId="5FA2C915" w14:textId="77777777" w:rsidR="00E95AFD" w:rsidRDefault="00E95AF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 w:rsidR="00597847">
        <w:rPr>
          <w:sz w:val="24"/>
          <w:szCs w:val="24"/>
        </w:rPr>
        <w:t>£360 (£300 + VAT)</w:t>
      </w:r>
    </w:p>
    <w:p w14:paraId="030923A4" w14:textId="77777777" w:rsidR="00597847" w:rsidRDefault="00597847" w:rsidP="00E95AFD">
      <w:pPr>
        <w:pStyle w:val="NoSpacing"/>
        <w:jc w:val="both"/>
        <w:rPr>
          <w:sz w:val="24"/>
          <w:szCs w:val="24"/>
        </w:rPr>
      </w:pPr>
    </w:p>
    <w:p w14:paraId="10A90B78" w14:textId="77777777" w:rsidR="00597847" w:rsidRPr="00113D53" w:rsidRDefault="00597847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2.</w:t>
      </w:r>
      <w:r w:rsidRPr="00113D53">
        <w:rPr>
          <w:b/>
          <w:sz w:val="28"/>
          <w:szCs w:val="28"/>
        </w:rPr>
        <w:tab/>
        <w:t>Form LPE1 or Similar</w:t>
      </w:r>
      <w:r w:rsidR="00A068A5">
        <w:rPr>
          <w:b/>
          <w:sz w:val="28"/>
          <w:szCs w:val="28"/>
        </w:rPr>
        <w:t xml:space="preserve"> Leasehold Information Request</w:t>
      </w:r>
    </w:p>
    <w:p w14:paraId="4029B99C" w14:textId="77777777" w:rsidR="00597847" w:rsidRDefault="00597847" w:rsidP="00E95AFD">
      <w:pPr>
        <w:pStyle w:val="NoSpacing"/>
        <w:jc w:val="both"/>
        <w:rPr>
          <w:b/>
          <w:sz w:val="24"/>
          <w:szCs w:val="24"/>
        </w:rPr>
      </w:pPr>
    </w:p>
    <w:p w14:paraId="1BC27D4D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We aim to provide a completed form and necessary documentation within 5 </w:t>
      </w:r>
      <w:r>
        <w:rPr>
          <w:sz w:val="24"/>
          <w:szCs w:val="24"/>
        </w:rPr>
        <w:tab/>
        <w:t>working days of receipt of payment.</w:t>
      </w:r>
    </w:p>
    <w:p w14:paraId="0F4DAE78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322AED9D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£360 (£300 + VAT)</w:t>
      </w:r>
    </w:p>
    <w:p w14:paraId="33EA6678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4269D98B" w14:textId="77777777" w:rsidR="00597847" w:rsidRPr="00113D53" w:rsidRDefault="00597847" w:rsidP="00597847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3.</w:t>
      </w:r>
      <w:r w:rsidRPr="00113D53">
        <w:rPr>
          <w:b/>
          <w:sz w:val="28"/>
          <w:szCs w:val="28"/>
        </w:rPr>
        <w:tab/>
        <w:t>Bespoke Pre-Contract Enquiries</w:t>
      </w:r>
    </w:p>
    <w:p w14:paraId="71CB7C10" w14:textId="77777777" w:rsidR="00597847" w:rsidRDefault="00597847" w:rsidP="00597847">
      <w:pPr>
        <w:pStyle w:val="NoSpacing"/>
        <w:jc w:val="both"/>
        <w:rPr>
          <w:b/>
          <w:sz w:val="24"/>
          <w:szCs w:val="24"/>
        </w:rPr>
      </w:pPr>
    </w:p>
    <w:p w14:paraId="26637876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We aim to provide replies to any list of specific enquiries, along with any necessary </w:t>
      </w:r>
      <w:r>
        <w:rPr>
          <w:sz w:val="24"/>
          <w:szCs w:val="24"/>
        </w:rPr>
        <w:tab/>
        <w:t>documentation within 10 working days of receipt of payment.</w:t>
      </w:r>
    </w:p>
    <w:p w14:paraId="51110A14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15BC787C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£360 (£300 + VAT)</w:t>
      </w:r>
    </w:p>
    <w:p w14:paraId="7A66F101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5A38A9E6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 w:rsidRPr="00113D53">
        <w:rPr>
          <w:b/>
          <w:sz w:val="28"/>
          <w:szCs w:val="28"/>
        </w:rPr>
        <w:t>NOTE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The above fees are one-off and beyond the supply of the initial Leasehold </w:t>
      </w:r>
      <w:r>
        <w:rPr>
          <w:sz w:val="24"/>
          <w:szCs w:val="24"/>
        </w:rPr>
        <w:tab/>
        <w:t xml:space="preserve">information will also cover replies to any further reasonable enquiries raised prior to </w:t>
      </w:r>
      <w:r>
        <w:rPr>
          <w:sz w:val="24"/>
          <w:szCs w:val="24"/>
        </w:rPr>
        <w:tab/>
        <w:t>exchange of contracts.</w:t>
      </w:r>
    </w:p>
    <w:p w14:paraId="4ADAC42E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45A4FA91" w14:textId="77777777" w:rsidR="00113D53" w:rsidRDefault="00113D53" w:rsidP="00597847">
      <w:pPr>
        <w:pStyle w:val="NoSpacing"/>
        <w:jc w:val="both"/>
        <w:rPr>
          <w:b/>
          <w:sz w:val="28"/>
          <w:szCs w:val="28"/>
        </w:rPr>
      </w:pPr>
    </w:p>
    <w:p w14:paraId="652D6F0E" w14:textId="77777777" w:rsidR="00113D53" w:rsidRDefault="00113D53" w:rsidP="00597847">
      <w:pPr>
        <w:pStyle w:val="NoSpacing"/>
        <w:jc w:val="both"/>
        <w:rPr>
          <w:b/>
          <w:sz w:val="28"/>
          <w:szCs w:val="28"/>
        </w:rPr>
      </w:pPr>
    </w:p>
    <w:p w14:paraId="1B0A58E2" w14:textId="77777777" w:rsidR="00597847" w:rsidRPr="00113D53" w:rsidRDefault="00597847" w:rsidP="00597847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4.</w:t>
      </w:r>
      <w:r w:rsidRPr="00113D53">
        <w:rPr>
          <w:b/>
          <w:sz w:val="28"/>
          <w:szCs w:val="28"/>
        </w:rPr>
        <w:tab/>
        <w:t>Financial Information Pack</w:t>
      </w:r>
    </w:p>
    <w:p w14:paraId="7700A60C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</w:p>
    <w:p w14:paraId="6EEF134B" w14:textId="77777777" w:rsidR="00597847" w:rsidRDefault="00597847" w:rsidP="005978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013D">
        <w:rPr>
          <w:sz w:val="24"/>
          <w:szCs w:val="24"/>
        </w:rPr>
        <w:t>We aim to provide the following information only</w:t>
      </w:r>
      <w:r>
        <w:rPr>
          <w:sz w:val="24"/>
          <w:szCs w:val="24"/>
        </w:rPr>
        <w:t xml:space="preserve"> within 5 working days of receipt of </w:t>
      </w:r>
      <w:r w:rsidR="00E9013D">
        <w:rPr>
          <w:sz w:val="24"/>
          <w:szCs w:val="24"/>
        </w:rPr>
        <w:tab/>
        <w:t>payment: -</w:t>
      </w:r>
    </w:p>
    <w:p w14:paraId="64C404AD" w14:textId="77777777" w:rsidR="00E9013D" w:rsidRDefault="00E9013D" w:rsidP="00597847">
      <w:pPr>
        <w:pStyle w:val="NoSpacing"/>
        <w:jc w:val="both"/>
        <w:rPr>
          <w:sz w:val="24"/>
          <w:szCs w:val="24"/>
        </w:rPr>
      </w:pPr>
    </w:p>
    <w:p w14:paraId="4EF4585C" w14:textId="77777777" w:rsidR="00E9013D" w:rsidRDefault="00E9013D" w:rsidP="00E9013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charge accounts for the previous 3 years, where available.</w:t>
      </w:r>
    </w:p>
    <w:p w14:paraId="0EEE9066" w14:textId="77777777" w:rsidR="00E9013D" w:rsidRDefault="00E9013D" w:rsidP="00E9013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service charge budget.</w:t>
      </w:r>
    </w:p>
    <w:p w14:paraId="71265DC3" w14:textId="77777777" w:rsidR="00E9013D" w:rsidRDefault="00E9013D" w:rsidP="00E9013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Statement of Leaseholder’s service charge account.</w:t>
      </w:r>
    </w:p>
    <w:p w14:paraId="67E7F155" w14:textId="77777777" w:rsidR="00E9013D" w:rsidRDefault="00E9013D" w:rsidP="00E9013D">
      <w:pPr>
        <w:pStyle w:val="NoSpacing"/>
        <w:jc w:val="both"/>
        <w:rPr>
          <w:sz w:val="24"/>
          <w:szCs w:val="24"/>
        </w:rPr>
      </w:pPr>
    </w:p>
    <w:p w14:paraId="48222E82" w14:textId="77777777" w:rsidR="00E9013D" w:rsidRDefault="00E9013D" w:rsidP="00E901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£180 (£150 + VAT)</w:t>
      </w:r>
    </w:p>
    <w:p w14:paraId="625F08E4" w14:textId="77777777" w:rsidR="00597847" w:rsidRDefault="00597847" w:rsidP="00E95AFD">
      <w:pPr>
        <w:pStyle w:val="NoSpacing"/>
        <w:jc w:val="both"/>
        <w:rPr>
          <w:sz w:val="24"/>
          <w:szCs w:val="24"/>
        </w:rPr>
      </w:pPr>
    </w:p>
    <w:p w14:paraId="72E50098" w14:textId="77777777" w:rsidR="0061407A" w:rsidRPr="00113D53" w:rsidRDefault="0061407A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5.</w:t>
      </w:r>
      <w:r w:rsidRPr="00113D53">
        <w:rPr>
          <w:b/>
          <w:sz w:val="28"/>
          <w:szCs w:val="28"/>
        </w:rPr>
        <w:tab/>
        <w:t xml:space="preserve">Residents Management Company Memorandum &amp; Articles of </w:t>
      </w:r>
      <w:r w:rsidR="00113D53">
        <w:rPr>
          <w:b/>
          <w:sz w:val="28"/>
          <w:szCs w:val="28"/>
        </w:rPr>
        <w:tab/>
      </w:r>
      <w:r w:rsidRPr="00113D53">
        <w:rPr>
          <w:b/>
          <w:sz w:val="28"/>
          <w:szCs w:val="28"/>
        </w:rPr>
        <w:t>Association</w:t>
      </w:r>
    </w:p>
    <w:p w14:paraId="5654CB64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</w:p>
    <w:p w14:paraId="0E0BA50E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We aim to provide this within 5 working days of receipt of payment.</w:t>
      </w:r>
    </w:p>
    <w:p w14:paraId="6FC7C8E0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</w:p>
    <w:p w14:paraId="5E721B74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£48 (£40 + VAT)</w:t>
      </w:r>
    </w:p>
    <w:p w14:paraId="5A942880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00E29DE8" w14:textId="77777777" w:rsidR="0061407A" w:rsidRPr="00113D53" w:rsidRDefault="0061407A" w:rsidP="0061407A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6.</w:t>
      </w:r>
      <w:r w:rsidRPr="00113D53">
        <w:rPr>
          <w:b/>
          <w:sz w:val="28"/>
          <w:szCs w:val="28"/>
        </w:rPr>
        <w:tab/>
        <w:t>Insurance Schedule/Certificate and Policy or Summary of Cover</w:t>
      </w:r>
    </w:p>
    <w:p w14:paraId="10D073DF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27F9FA65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available we aim to provide this within 5 working days of receipt of payment.</w:t>
      </w:r>
    </w:p>
    <w:p w14:paraId="3C07C581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1130A8AA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£48 (£40 + VAT)</w:t>
      </w:r>
    </w:p>
    <w:p w14:paraId="12C345CC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685953E3" w14:textId="77777777" w:rsidR="0061407A" w:rsidRPr="00113D53" w:rsidRDefault="0061407A" w:rsidP="0061407A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7.</w:t>
      </w:r>
      <w:r w:rsidRPr="00113D53">
        <w:rPr>
          <w:b/>
          <w:sz w:val="28"/>
          <w:szCs w:val="28"/>
        </w:rPr>
        <w:tab/>
        <w:t>Fire Risk Assessment</w:t>
      </w:r>
    </w:p>
    <w:p w14:paraId="45F40ED2" w14:textId="77777777" w:rsidR="0061407A" w:rsidRP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3EE96295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available we aim to provide this within 5 working days of receipt of payment.</w:t>
      </w:r>
    </w:p>
    <w:p w14:paraId="1A77D53C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023C0FE1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£48 (£40 + VAT)</w:t>
      </w:r>
    </w:p>
    <w:p w14:paraId="5539DD3D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</w:p>
    <w:p w14:paraId="27E95756" w14:textId="77777777" w:rsidR="0061407A" w:rsidRPr="00113D53" w:rsidRDefault="0061407A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8.</w:t>
      </w:r>
      <w:r w:rsidRPr="00113D53">
        <w:rPr>
          <w:b/>
          <w:sz w:val="28"/>
          <w:szCs w:val="28"/>
        </w:rPr>
        <w:tab/>
        <w:t>General Risk Assessment</w:t>
      </w:r>
    </w:p>
    <w:p w14:paraId="3DC8577B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</w:p>
    <w:p w14:paraId="49D0F056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available we aim to provide this within 5 working days of receipt of payment.</w:t>
      </w:r>
    </w:p>
    <w:p w14:paraId="6FA0E73C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</w:p>
    <w:p w14:paraId="0AD3DA64" w14:textId="77777777" w:rsidR="0061407A" w:rsidRDefault="0061407A" w:rsidP="006140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£48 (£40 + VAT)</w:t>
      </w:r>
    </w:p>
    <w:p w14:paraId="7C6DEFE3" w14:textId="77777777" w:rsidR="0061407A" w:rsidRDefault="0061407A" w:rsidP="00E95AFD">
      <w:pPr>
        <w:pStyle w:val="NoSpacing"/>
        <w:jc w:val="both"/>
        <w:rPr>
          <w:sz w:val="24"/>
          <w:szCs w:val="24"/>
        </w:rPr>
      </w:pPr>
    </w:p>
    <w:p w14:paraId="2098D532" w14:textId="77777777" w:rsidR="0061407A" w:rsidRPr="00113D53" w:rsidRDefault="0061407A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9.</w:t>
      </w:r>
      <w:r w:rsidRPr="00113D53">
        <w:rPr>
          <w:b/>
          <w:sz w:val="28"/>
          <w:szCs w:val="28"/>
        </w:rPr>
        <w:tab/>
        <w:t xml:space="preserve">Fast Track Service – to be provided within 2 working days of receipt of </w:t>
      </w:r>
      <w:r w:rsidR="00113D53">
        <w:rPr>
          <w:b/>
          <w:sz w:val="28"/>
          <w:szCs w:val="28"/>
        </w:rPr>
        <w:tab/>
      </w:r>
      <w:r w:rsidRPr="00113D53">
        <w:rPr>
          <w:b/>
          <w:sz w:val="28"/>
          <w:szCs w:val="28"/>
        </w:rPr>
        <w:t>payment</w:t>
      </w:r>
    </w:p>
    <w:p w14:paraId="2237B136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4D963A7C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Applicable to Items 1-8 above: -</w:t>
      </w:r>
    </w:p>
    <w:p w14:paraId="174E8708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3A9F0B88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£90 (£75 + VAT)</w:t>
      </w:r>
      <w:r w:rsidR="00A068A5">
        <w:rPr>
          <w:sz w:val="24"/>
          <w:szCs w:val="24"/>
        </w:rPr>
        <w:t xml:space="preserve"> in a</w:t>
      </w:r>
      <w:r w:rsidR="004737E5">
        <w:rPr>
          <w:sz w:val="24"/>
          <w:szCs w:val="24"/>
        </w:rPr>
        <w:t>ddition to the standard payment</w:t>
      </w:r>
    </w:p>
    <w:p w14:paraId="028A4125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0CF1C8AA" w14:textId="77777777" w:rsidR="00A564B5" w:rsidRDefault="00A564B5" w:rsidP="00E95AFD">
      <w:pPr>
        <w:pStyle w:val="NoSpacing"/>
        <w:jc w:val="both"/>
        <w:rPr>
          <w:b/>
          <w:sz w:val="28"/>
          <w:szCs w:val="28"/>
        </w:rPr>
      </w:pPr>
    </w:p>
    <w:p w14:paraId="32ABD948" w14:textId="77777777" w:rsidR="00A564B5" w:rsidRDefault="00A564B5" w:rsidP="00E95AFD">
      <w:pPr>
        <w:pStyle w:val="NoSpacing"/>
        <w:jc w:val="both"/>
        <w:rPr>
          <w:b/>
          <w:sz w:val="28"/>
          <w:szCs w:val="28"/>
        </w:rPr>
      </w:pPr>
    </w:p>
    <w:p w14:paraId="05BB807C" w14:textId="77777777" w:rsidR="002D521D" w:rsidRPr="00113D53" w:rsidRDefault="002D521D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10.</w:t>
      </w:r>
      <w:r w:rsidRPr="00113D53">
        <w:rPr>
          <w:b/>
          <w:sz w:val="28"/>
          <w:szCs w:val="28"/>
        </w:rPr>
        <w:tab/>
        <w:t>Deed of Covenant</w:t>
      </w:r>
    </w:p>
    <w:p w14:paraId="053CB768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0554BBE8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prepared by York Laurent and to include proof reading and processing: -</w:t>
      </w:r>
    </w:p>
    <w:p w14:paraId="1EB96812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49DA3FE3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£180 (£150 + VAT)</w:t>
      </w:r>
    </w:p>
    <w:p w14:paraId="54D1B248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0BB148FB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Full preparation by York Laurent, including execution: -</w:t>
      </w:r>
    </w:p>
    <w:p w14:paraId="2B4969FA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3A73566A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£300 (£250 + VAT)</w:t>
      </w:r>
    </w:p>
    <w:p w14:paraId="75C6FBFE" w14:textId="77777777" w:rsidR="002D521D" w:rsidRDefault="002D521D" w:rsidP="00E95AFD">
      <w:pPr>
        <w:pStyle w:val="NoSpacing"/>
        <w:jc w:val="both"/>
        <w:rPr>
          <w:sz w:val="24"/>
          <w:szCs w:val="24"/>
        </w:rPr>
      </w:pPr>
    </w:p>
    <w:p w14:paraId="6DBE3728" w14:textId="77777777" w:rsidR="002D521D" w:rsidRPr="00113D53" w:rsidRDefault="00D3732B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11.</w:t>
      </w:r>
      <w:r w:rsidRPr="00113D53">
        <w:rPr>
          <w:b/>
          <w:sz w:val="28"/>
          <w:szCs w:val="28"/>
        </w:rPr>
        <w:tab/>
        <w:t>Consent to Transfer / Certificate of Compliance</w:t>
      </w:r>
    </w:p>
    <w:p w14:paraId="3556EB59" w14:textId="77777777" w:rsidR="00D3732B" w:rsidRDefault="00D3732B" w:rsidP="00E95AFD">
      <w:pPr>
        <w:pStyle w:val="NoSpacing"/>
        <w:jc w:val="both"/>
        <w:rPr>
          <w:sz w:val="24"/>
          <w:szCs w:val="24"/>
        </w:rPr>
      </w:pPr>
    </w:p>
    <w:p w14:paraId="628F8BDF" w14:textId="77777777" w:rsidR="00D3732B" w:rsidRDefault="00D3732B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prepared by York Laurent: -</w:t>
      </w:r>
    </w:p>
    <w:p w14:paraId="37F5E259" w14:textId="77777777" w:rsidR="00D3732B" w:rsidRDefault="00D3732B" w:rsidP="00E95AFD">
      <w:pPr>
        <w:pStyle w:val="NoSpacing"/>
        <w:jc w:val="both"/>
        <w:rPr>
          <w:sz w:val="24"/>
          <w:szCs w:val="24"/>
        </w:rPr>
      </w:pPr>
    </w:p>
    <w:p w14:paraId="6EF93F3B" w14:textId="77777777" w:rsidR="00D3732B" w:rsidRDefault="00D3732B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£120 (£100 + VAT)</w:t>
      </w:r>
    </w:p>
    <w:p w14:paraId="6AFB9E89" w14:textId="77777777" w:rsidR="00D3732B" w:rsidRDefault="00D3732B" w:rsidP="00E95AFD">
      <w:pPr>
        <w:pStyle w:val="NoSpacing"/>
        <w:jc w:val="both"/>
        <w:rPr>
          <w:sz w:val="24"/>
          <w:szCs w:val="24"/>
        </w:rPr>
      </w:pPr>
    </w:p>
    <w:p w14:paraId="51FDE162" w14:textId="77777777" w:rsidR="00D3732B" w:rsidRPr="00113D53" w:rsidRDefault="00D3732B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12</w:t>
      </w:r>
      <w:r w:rsidR="00497223" w:rsidRPr="00113D53">
        <w:rPr>
          <w:b/>
          <w:sz w:val="28"/>
          <w:szCs w:val="28"/>
        </w:rPr>
        <w:t>.</w:t>
      </w:r>
      <w:r w:rsidR="00497223" w:rsidRPr="00113D53">
        <w:rPr>
          <w:b/>
          <w:sz w:val="28"/>
          <w:szCs w:val="28"/>
        </w:rPr>
        <w:tab/>
        <w:t>Notice of Assignment and/or Charge</w:t>
      </w:r>
    </w:p>
    <w:p w14:paraId="13BC50EF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</w:p>
    <w:p w14:paraId="3A799C9E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□</w:t>
      </w:r>
      <w:r>
        <w:rPr>
          <w:sz w:val="24"/>
          <w:szCs w:val="24"/>
        </w:rPr>
        <w:tab/>
        <w:t>£138 (£115 + VAT)</w:t>
      </w:r>
    </w:p>
    <w:p w14:paraId="667A314A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78C1C031" w14:textId="77777777" w:rsidR="00497223" w:rsidRPr="00113D53" w:rsidRDefault="00497223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13.</w:t>
      </w:r>
      <w:r w:rsidRPr="00113D53">
        <w:rPr>
          <w:b/>
          <w:sz w:val="28"/>
          <w:szCs w:val="28"/>
        </w:rPr>
        <w:tab/>
        <w:t>Re-issue of Share/Membership Certificate</w:t>
      </w:r>
    </w:p>
    <w:p w14:paraId="3BF70F9D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</w:p>
    <w:p w14:paraId="101EBE99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the Company Secretary is York Laurent: -</w:t>
      </w:r>
    </w:p>
    <w:p w14:paraId="0682AEC7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5E77CECD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£120 (£100 + VAT)</w:t>
      </w:r>
    </w:p>
    <w:p w14:paraId="35456564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424F7BC7" w14:textId="77777777" w:rsidR="00497223" w:rsidRPr="00113D53" w:rsidRDefault="00497223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14.</w:t>
      </w:r>
      <w:r w:rsidRPr="00113D53">
        <w:rPr>
          <w:b/>
          <w:sz w:val="28"/>
          <w:szCs w:val="28"/>
        </w:rPr>
        <w:tab/>
        <w:t>Indemnity Regarding Lost Share Certificate</w:t>
      </w:r>
    </w:p>
    <w:p w14:paraId="7E4C61F2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53568D41" w14:textId="77777777" w:rsidR="00497223" w:rsidRDefault="00497223" w:rsidP="0049722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Where the Company Secretary is York Laurent: -</w:t>
      </w:r>
    </w:p>
    <w:p w14:paraId="3A75D8B2" w14:textId="77777777" w:rsidR="00497223" w:rsidRDefault="00497223" w:rsidP="00497223">
      <w:pPr>
        <w:pStyle w:val="NoSpacing"/>
        <w:jc w:val="both"/>
        <w:rPr>
          <w:sz w:val="24"/>
          <w:szCs w:val="24"/>
        </w:rPr>
      </w:pPr>
    </w:p>
    <w:p w14:paraId="5606F596" w14:textId="77777777" w:rsidR="00497223" w:rsidRDefault="00497223" w:rsidP="0049722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£120 (£100 + VAT)</w:t>
      </w:r>
    </w:p>
    <w:p w14:paraId="64085BEC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2FBB642C" w14:textId="77777777" w:rsidR="00497223" w:rsidRPr="00113D53" w:rsidRDefault="004737E5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ab/>
        <w:t>Any Other Consent u</w:t>
      </w:r>
      <w:r w:rsidR="00497223" w:rsidRPr="00113D53">
        <w:rPr>
          <w:b/>
          <w:sz w:val="28"/>
          <w:szCs w:val="28"/>
        </w:rPr>
        <w:t>nder the Lease</w:t>
      </w:r>
    </w:p>
    <w:p w14:paraId="42FEB3FE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404BE01B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£120 (£100 + VAT)</w:t>
      </w:r>
    </w:p>
    <w:p w14:paraId="39E13491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0FAA6077" w14:textId="77777777" w:rsidR="00497223" w:rsidRPr="00113D53" w:rsidRDefault="00497223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16.</w:t>
      </w:r>
      <w:r w:rsidRPr="00113D53">
        <w:rPr>
          <w:b/>
          <w:sz w:val="28"/>
          <w:szCs w:val="28"/>
        </w:rPr>
        <w:tab/>
        <w:t>References for Mortgagees/Landlords</w:t>
      </w:r>
    </w:p>
    <w:p w14:paraId="16437B24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</w:p>
    <w:p w14:paraId="35D7D99D" w14:textId="77777777" w:rsidR="00497223" w:rsidRDefault="00497223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  <w:t>£120 (£100 + VAT)</w:t>
      </w:r>
    </w:p>
    <w:p w14:paraId="34C42517" w14:textId="77777777" w:rsidR="00A564B5" w:rsidRDefault="00A564B5" w:rsidP="00E95AFD">
      <w:pPr>
        <w:pStyle w:val="NoSpacing"/>
        <w:jc w:val="both"/>
        <w:rPr>
          <w:sz w:val="24"/>
          <w:szCs w:val="24"/>
        </w:rPr>
      </w:pPr>
    </w:p>
    <w:p w14:paraId="63CFC104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ab/>
        <w:t>Replacement Car Park Gate Remote Controls</w:t>
      </w:r>
    </w:p>
    <w:p w14:paraId="342C923E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</w:p>
    <w:p w14:paraId="2CF31B8F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142753">
        <w:rPr>
          <w:sz w:val="24"/>
          <w:szCs w:val="24"/>
        </w:rPr>
        <w:t>□</w:t>
      </w:r>
      <w:r w:rsidR="00142753">
        <w:rPr>
          <w:sz w:val="24"/>
          <w:szCs w:val="24"/>
        </w:rPr>
        <w:tab/>
        <w:t>£50.00 (£42</w:t>
      </w:r>
      <w:r>
        <w:rPr>
          <w:sz w:val="24"/>
          <w:szCs w:val="24"/>
        </w:rPr>
        <w:t xml:space="preserve"> + VAT)</w:t>
      </w:r>
    </w:p>
    <w:p w14:paraId="0574F7EC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</w:p>
    <w:p w14:paraId="7357CA56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</w:p>
    <w:p w14:paraId="09FA2887" w14:textId="77777777" w:rsidR="00A564B5" w:rsidRDefault="007D0F80" w:rsidP="00A564B5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564B5">
        <w:rPr>
          <w:b/>
          <w:sz w:val="28"/>
          <w:szCs w:val="28"/>
        </w:rPr>
        <w:t>.</w:t>
      </w:r>
      <w:r w:rsidR="00A564B5">
        <w:rPr>
          <w:b/>
          <w:sz w:val="28"/>
          <w:szCs w:val="28"/>
        </w:rPr>
        <w:tab/>
        <w:t>Replacement Communal Door Entry Fobs</w:t>
      </w:r>
    </w:p>
    <w:p w14:paraId="5CF16A14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</w:p>
    <w:p w14:paraId="347F7375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□</w:t>
      </w:r>
      <w:r>
        <w:rPr>
          <w:sz w:val="24"/>
          <w:szCs w:val="24"/>
        </w:rPr>
        <w:tab/>
        <w:t>£30 (£25 + VAT)</w:t>
      </w:r>
    </w:p>
    <w:p w14:paraId="187D2274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</w:p>
    <w:p w14:paraId="139F728B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</w:p>
    <w:p w14:paraId="66F9ED06" w14:textId="77777777" w:rsidR="00A564B5" w:rsidRDefault="007D0F80" w:rsidP="00A564B5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564B5">
        <w:rPr>
          <w:b/>
          <w:sz w:val="28"/>
          <w:szCs w:val="28"/>
        </w:rPr>
        <w:t>.</w:t>
      </w:r>
      <w:r w:rsidR="00A564B5">
        <w:rPr>
          <w:b/>
          <w:sz w:val="28"/>
          <w:szCs w:val="28"/>
        </w:rPr>
        <w:tab/>
        <w:t>Replacement Communal Door Entry Keys</w:t>
      </w:r>
    </w:p>
    <w:p w14:paraId="1D06F7AB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</w:p>
    <w:p w14:paraId="2F581198" w14:textId="77777777" w:rsidR="00A564B5" w:rsidRDefault="00A564B5" w:rsidP="00A564B5">
      <w:pPr>
        <w:pStyle w:val="NoSpacing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□</w:t>
      </w:r>
      <w:r>
        <w:rPr>
          <w:sz w:val="24"/>
          <w:szCs w:val="24"/>
        </w:rPr>
        <w:tab/>
        <w:t>£30 (£25 + VAT)</w:t>
      </w:r>
    </w:p>
    <w:p w14:paraId="60A7D014" w14:textId="77777777" w:rsidR="00A564B5" w:rsidRDefault="00A564B5" w:rsidP="00A564B5">
      <w:pPr>
        <w:pStyle w:val="NoSpacing"/>
        <w:jc w:val="both"/>
        <w:rPr>
          <w:b/>
          <w:sz w:val="28"/>
          <w:szCs w:val="28"/>
        </w:rPr>
      </w:pPr>
    </w:p>
    <w:p w14:paraId="465494B3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tick the appropriate boxes and return with your remittance to: -</w:t>
      </w:r>
    </w:p>
    <w:p w14:paraId="35D96F5E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</w:p>
    <w:p w14:paraId="719248E7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York Laurent Ltd</w:t>
      </w:r>
    </w:p>
    <w:p w14:paraId="1403CB5E" w14:textId="5467C7CD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B294B">
        <w:rPr>
          <w:b/>
          <w:sz w:val="24"/>
          <w:szCs w:val="24"/>
        </w:rPr>
        <w:t xml:space="preserve">Unit 6, </w:t>
      </w:r>
      <w:r>
        <w:rPr>
          <w:b/>
          <w:sz w:val="24"/>
          <w:szCs w:val="24"/>
        </w:rPr>
        <w:t>13 Frederick Street</w:t>
      </w:r>
    </w:p>
    <w:p w14:paraId="709D9BF4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Birmingham</w:t>
      </w:r>
    </w:p>
    <w:p w14:paraId="6974D26E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B1 3HE</w:t>
      </w:r>
    </w:p>
    <w:p w14:paraId="41B9AA4A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</w:p>
    <w:p w14:paraId="0AC6BB0B" w14:textId="77777777" w:rsidR="00497223" w:rsidRDefault="00497223" w:rsidP="00E95AF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Cheques should be made payable to YORK LAURENT LTD.</w:t>
      </w:r>
    </w:p>
    <w:p w14:paraId="05024687" w14:textId="77777777" w:rsidR="000C62E6" w:rsidRDefault="000C62E6" w:rsidP="00E95AFD">
      <w:pPr>
        <w:pStyle w:val="NoSpacing"/>
        <w:jc w:val="both"/>
        <w:rPr>
          <w:b/>
          <w:sz w:val="24"/>
          <w:szCs w:val="24"/>
        </w:rPr>
      </w:pPr>
    </w:p>
    <w:p w14:paraId="43585EFE" w14:textId="77777777" w:rsidR="00EC5DC7" w:rsidRPr="00113D53" w:rsidRDefault="00EC5DC7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The following administrative charges automatically apply and will be applied to your service charge account when incurred</w:t>
      </w:r>
      <w:r w:rsidR="00AE16FC" w:rsidRPr="00113D53">
        <w:rPr>
          <w:b/>
          <w:sz w:val="28"/>
          <w:szCs w:val="28"/>
        </w:rPr>
        <w:t>, or charged separately as appropriate</w:t>
      </w:r>
      <w:r w:rsidRPr="00113D53">
        <w:rPr>
          <w:b/>
          <w:sz w:val="28"/>
          <w:szCs w:val="28"/>
        </w:rPr>
        <w:t>: -</w:t>
      </w:r>
    </w:p>
    <w:p w14:paraId="304107B9" w14:textId="77777777" w:rsidR="00EC5DC7" w:rsidRPr="00113D53" w:rsidRDefault="00EC5DC7" w:rsidP="00E95AFD">
      <w:pPr>
        <w:pStyle w:val="NoSpacing"/>
        <w:jc w:val="both"/>
        <w:rPr>
          <w:b/>
          <w:sz w:val="28"/>
          <w:szCs w:val="28"/>
        </w:rPr>
      </w:pPr>
    </w:p>
    <w:p w14:paraId="49D208B1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Second &amp; Subsequent Service Charge Arrears Letters</w:t>
      </w:r>
    </w:p>
    <w:p w14:paraId="19A448E4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4E8D1D75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£54 (£45 + VAT)</w:t>
      </w:r>
    </w:p>
    <w:p w14:paraId="16AFE80D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7565E654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Second &amp; Subsequent Ground Rent Arrears Letters</w:t>
      </w:r>
    </w:p>
    <w:p w14:paraId="614219C7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3FE3CB79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£54 (£45 + VAT)</w:t>
      </w:r>
    </w:p>
    <w:p w14:paraId="2101B52E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59905F7B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Returned Cheque Fee</w:t>
      </w:r>
    </w:p>
    <w:p w14:paraId="12ABCD40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63EDC260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£24 (£20 + VAT)</w:t>
      </w:r>
    </w:p>
    <w:p w14:paraId="3346CA92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3DD619E2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Post Legal Letters</w:t>
      </w:r>
    </w:p>
    <w:p w14:paraId="59ABBA95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2C21CAE9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£72 (£60 + VAT)</w:t>
      </w:r>
    </w:p>
    <w:p w14:paraId="27720BE3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5D3EC2A1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Service Charge or Ground Rent Solicitor Referral Fee</w:t>
      </w:r>
    </w:p>
    <w:p w14:paraId="4BBD790C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3ED9A40A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£102 (£85 + VAT)</w:t>
      </w:r>
    </w:p>
    <w:p w14:paraId="3E76F5F0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74C5DE03" w14:textId="77777777" w:rsidR="00EC5DC7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25</w:t>
      </w:r>
      <w:r w:rsidR="00EC5DC7" w:rsidRPr="00113D53">
        <w:rPr>
          <w:b/>
          <w:sz w:val="28"/>
          <w:szCs w:val="28"/>
        </w:rPr>
        <w:t>.</w:t>
      </w:r>
      <w:r w:rsidR="00EC5DC7" w:rsidRPr="00113D53">
        <w:rPr>
          <w:b/>
          <w:sz w:val="28"/>
          <w:szCs w:val="28"/>
        </w:rPr>
        <w:tab/>
        <w:t>Payment Plan Fees</w:t>
      </w:r>
    </w:p>
    <w:p w14:paraId="65E31385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</w:p>
    <w:p w14:paraId="5370CE06" w14:textId="77777777" w:rsidR="00EC5DC7" w:rsidRDefault="00EC5DC7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283E">
        <w:rPr>
          <w:sz w:val="24"/>
          <w:szCs w:val="24"/>
        </w:rPr>
        <w:t>£60 (£50 + VAT) – debts under £500</w:t>
      </w:r>
    </w:p>
    <w:p w14:paraId="299CADEC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£96 (£80 + VAT) – debts over £500</w:t>
      </w:r>
    </w:p>
    <w:p w14:paraId="7AC9063B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0D00FAED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5A283E" w:rsidRPr="00113D53">
        <w:rPr>
          <w:b/>
          <w:sz w:val="28"/>
          <w:szCs w:val="28"/>
        </w:rPr>
        <w:t>.</w:t>
      </w:r>
      <w:r w:rsidR="005A283E" w:rsidRPr="00113D53">
        <w:rPr>
          <w:b/>
          <w:sz w:val="28"/>
          <w:szCs w:val="28"/>
        </w:rPr>
        <w:tab/>
        <w:t>Failed Premium Credit Fee</w:t>
      </w:r>
    </w:p>
    <w:p w14:paraId="79A70261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17132A7E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£36 (£30 + VAT)</w:t>
      </w:r>
    </w:p>
    <w:p w14:paraId="5551E2F0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417BEFBF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5A283E" w:rsidRPr="00113D53">
        <w:rPr>
          <w:b/>
          <w:sz w:val="28"/>
          <w:szCs w:val="28"/>
        </w:rPr>
        <w:t>.</w:t>
      </w:r>
      <w:r w:rsidR="005A283E" w:rsidRPr="00113D53">
        <w:rPr>
          <w:b/>
          <w:sz w:val="28"/>
          <w:szCs w:val="28"/>
        </w:rPr>
        <w:tab/>
        <w:t>Breach of Lease Charge</w:t>
      </w:r>
    </w:p>
    <w:p w14:paraId="4AA95511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5D314F7B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£60 (£50 + VAT) per letter.</w:t>
      </w:r>
    </w:p>
    <w:p w14:paraId="47C30783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200400A9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Hourly rates</w:t>
      </w:r>
      <w:r w:rsidR="00AE16FC">
        <w:rPr>
          <w:sz w:val="24"/>
          <w:szCs w:val="24"/>
        </w:rPr>
        <w:t xml:space="preserve"> are payable for further action.</w:t>
      </w:r>
    </w:p>
    <w:p w14:paraId="549A2597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38A0F5A9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5A283E" w:rsidRPr="00113D53">
        <w:rPr>
          <w:b/>
          <w:sz w:val="28"/>
          <w:szCs w:val="28"/>
        </w:rPr>
        <w:t>.</w:t>
      </w:r>
      <w:r w:rsidR="005A283E" w:rsidRPr="00113D53">
        <w:rPr>
          <w:b/>
          <w:sz w:val="28"/>
          <w:szCs w:val="28"/>
        </w:rPr>
        <w:tab/>
        <w:t>Court/Tribunal Attendance Charges</w:t>
      </w:r>
    </w:p>
    <w:p w14:paraId="11FD2C24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38930917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per the hourly </w:t>
      </w:r>
      <w:r w:rsidR="00AE16FC">
        <w:rPr>
          <w:sz w:val="24"/>
          <w:szCs w:val="24"/>
        </w:rPr>
        <w:t>charge rates plus disbursements</w:t>
      </w:r>
    </w:p>
    <w:p w14:paraId="7BD0910B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0B593D19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A283E" w:rsidRPr="00113D53">
        <w:rPr>
          <w:b/>
          <w:sz w:val="28"/>
          <w:szCs w:val="28"/>
        </w:rPr>
        <w:t>.</w:t>
      </w:r>
      <w:r w:rsidR="005A283E" w:rsidRPr="00113D53">
        <w:rPr>
          <w:b/>
          <w:sz w:val="28"/>
          <w:szCs w:val="28"/>
        </w:rPr>
        <w:tab/>
        <w:t>Additional Meetings &amp; Site Visits</w:t>
      </w:r>
    </w:p>
    <w:p w14:paraId="7989A359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304C812C" w14:textId="77777777" w:rsidR="005A283E" w:rsidRDefault="005A283E" w:rsidP="005A283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per the hourly </w:t>
      </w:r>
      <w:r w:rsidR="00AE16FC">
        <w:rPr>
          <w:sz w:val="24"/>
          <w:szCs w:val="24"/>
        </w:rPr>
        <w:t>charge rates plus disbursements</w:t>
      </w:r>
    </w:p>
    <w:p w14:paraId="020447EF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79485238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5A283E" w:rsidRPr="00113D53">
        <w:rPr>
          <w:b/>
          <w:sz w:val="28"/>
          <w:szCs w:val="28"/>
        </w:rPr>
        <w:t>.</w:t>
      </w:r>
      <w:r w:rsidR="005A283E" w:rsidRPr="00113D53">
        <w:rPr>
          <w:b/>
          <w:sz w:val="28"/>
          <w:szCs w:val="28"/>
        </w:rPr>
        <w:tab/>
        <w:t>Parking Controls</w:t>
      </w:r>
    </w:p>
    <w:p w14:paraId="6687299A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6A53E211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£12 (£10 + VAT) per unit per annum</w:t>
      </w:r>
      <w:r w:rsidR="00A068A5">
        <w:rPr>
          <w:sz w:val="24"/>
          <w:szCs w:val="24"/>
        </w:rPr>
        <w:t xml:space="preserve"> (if applicable)</w:t>
      </w:r>
    </w:p>
    <w:p w14:paraId="2F14A04F" w14:textId="77777777" w:rsidR="005A283E" w:rsidRDefault="005A283E" w:rsidP="00E95AFD">
      <w:pPr>
        <w:pStyle w:val="NoSpacing"/>
        <w:jc w:val="both"/>
        <w:rPr>
          <w:sz w:val="24"/>
          <w:szCs w:val="24"/>
        </w:rPr>
      </w:pPr>
    </w:p>
    <w:p w14:paraId="4556D363" w14:textId="77777777" w:rsidR="005A283E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E16FC" w:rsidRPr="00113D53">
        <w:rPr>
          <w:b/>
          <w:sz w:val="28"/>
          <w:szCs w:val="28"/>
        </w:rPr>
        <w:t>.</w:t>
      </w:r>
      <w:r w:rsidR="00AE16FC" w:rsidRPr="00113D53">
        <w:rPr>
          <w:b/>
          <w:sz w:val="28"/>
          <w:szCs w:val="28"/>
        </w:rPr>
        <w:tab/>
        <w:t>Work Relating to Building Defects &amp; Snagging</w:t>
      </w:r>
    </w:p>
    <w:p w14:paraId="2EF84AE4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</w:p>
    <w:p w14:paraId="065DE313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£120 (£100 + VAT) per hour</w:t>
      </w:r>
    </w:p>
    <w:p w14:paraId="5ADD0600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</w:p>
    <w:p w14:paraId="6C3C0D62" w14:textId="77777777" w:rsidR="00AE16FC" w:rsidRPr="00113D53" w:rsidRDefault="007D0F80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AE16FC" w:rsidRPr="00113D53">
        <w:rPr>
          <w:b/>
          <w:sz w:val="28"/>
          <w:szCs w:val="28"/>
        </w:rPr>
        <w:t>.</w:t>
      </w:r>
      <w:r w:rsidR="00AE16FC" w:rsidRPr="00113D53">
        <w:rPr>
          <w:b/>
          <w:sz w:val="28"/>
          <w:szCs w:val="28"/>
        </w:rPr>
        <w:tab/>
        <w:t>Abandoned Cars</w:t>
      </w:r>
    </w:p>
    <w:p w14:paraId="56DA4B35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</w:p>
    <w:p w14:paraId="0F840B98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£120 (£100 + VAT) each, on removal</w:t>
      </w:r>
    </w:p>
    <w:p w14:paraId="57BD89CE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</w:p>
    <w:p w14:paraId="1D5C7789" w14:textId="77777777" w:rsidR="00B43C89" w:rsidRDefault="00180ADA" w:rsidP="00E95AF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Major Works, Long Term Agreements &amp; Fees</w:t>
      </w:r>
    </w:p>
    <w:p w14:paraId="7F62721F" w14:textId="77777777" w:rsidR="006B75CA" w:rsidRDefault="006B75CA" w:rsidP="00E95AFD">
      <w:pPr>
        <w:pStyle w:val="NoSpacing"/>
        <w:jc w:val="both"/>
        <w:rPr>
          <w:b/>
          <w:sz w:val="28"/>
          <w:szCs w:val="28"/>
        </w:rPr>
      </w:pPr>
    </w:p>
    <w:p w14:paraId="5C699C27" w14:textId="502AAEEE" w:rsidR="006B294B" w:rsidRPr="006B294B" w:rsidRDefault="00B43C89" w:rsidP="006B294B">
      <w:pPr>
        <w:pStyle w:val="NoSpacing"/>
        <w:jc w:val="both"/>
        <w:rPr>
          <w:sz w:val="24"/>
          <w:szCs w:val="24"/>
        </w:rPr>
      </w:pPr>
      <w:r>
        <w:rPr>
          <w:b/>
          <w:sz w:val="28"/>
          <w:szCs w:val="28"/>
        </w:rPr>
        <w:t>33</w:t>
      </w:r>
      <w:r w:rsidR="00180ADA">
        <w:rPr>
          <w:b/>
          <w:sz w:val="28"/>
          <w:szCs w:val="28"/>
        </w:rPr>
        <w:t>.</w:t>
      </w:r>
      <w:r w:rsidR="00180ADA">
        <w:rPr>
          <w:b/>
          <w:sz w:val="28"/>
          <w:szCs w:val="28"/>
        </w:rPr>
        <w:tab/>
      </w:r>
      <w:r w:rsidR="006B294B" w:rsidRPr="006B294B">
        <w:rPr>
          <w:rStyle w:val="bumpedfont15"/>
          <w:b/>
          <w:bCs/>
          <w:sz w:val="28"/>
          <w:szCs w:val="28"/>
        </w:rPr>
        <w:t>Section 20</w:t>
      </w:r>
      <w:r w:rsidR="006B294B" w:rsidRPr="006B294B">
        <w:rPr>
          <w:rStyle w:val="bumpedfont15"/>
          <w:b/>
          <w:bCs/>
          <w:sz w:val="24"/>
          <w:szCs w:val="24"/>
        </w:rPr>
        <w:t> </w:t>
      </w:r>
    </w:p>
    <w:p w14:paraId="4F0ED2A5" w14:textId="77777777" w:rsidR="00E87705" w:rsidRDefault="00E87705" w:rsidP="006B294B">
      <w:pPr>
        <w:pStyle w:val="s14"/>
        <w:spacing w:before="0" w:beforeAutospacing="0" w:after="0" w:afterAutospacing="0"/>
        <w:ind w:left="540" w:firstLine="180"/>
        <w:jc w:val="both"/>
        <w:rPr>
          <w:rStyle w:val="bumpedfont15"/>
          <w:sz w:val="24"/>
          <w:szCs w:val="24"/>
        </w:rPr>
      </w:pPr>
    </w:p>
    <w:p w14:paraId="5A985BC2" w14:textId="17C72CCF" w:rsidR="006B294B" w:rsidRPr="006B294B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sz w:val="24"/>
          <w:szCs w:val="24"/>
        </w:rPr>
      </w:pPr>
      <w:r w:rsidRPr="006B294B">
        <w:rPr>
          <w:rStyle w:val="bumpedfont15"/>
          <w:sz w:val="24"/>
          <w:szCs w:val="24"/>
        </w:rPr>
        <w:t>£6 (£5 + VAT) per issue of letter</w:t>
      </w:r>
    </w:p>
    <w:p w14:paraId="22050848" w14:textId="77777777" w:rsidR="006B294B" w:rsidRPr="006B294B" w:rsidRDefault="006B294B" w:rsidP="006B294B">
      <w:pPr>
        <w:pStyle w:val="s14"/>
        <w:spacing w:before="0" w:beforeAutospacing="0" w:after="0" w:afterAutospacing="0"/>
        <w:ind w:left="540"/>
        <w:jc w:val="both"/>
        <w:rPr>
          <w:sz w:val="24"/>
          <w:szCs w:val="24"/>
        </w:rPr>
      </w:pPr>
      <w:r w:rsidRPr="006B294B">
        <w:rPr>
          <w:sz w:val="24"/>
          <w:szCs w:val="24"/>
        </w:rPr>
        <w:t> </w:t>
      </w:r>
    </w:p>
    <w:p w14:paraId="361B6DBA" w14:textId="77777777" w:rsidR="006B294B" w:rsidRPr="006B294B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sz w:val="28"/>
          <w:szCs w:val="28"/>
        </w:rPr>
      </w:pPr>
      <w:r w:rsidRPr="006B294B">
        <w:rPr>
          <w:rStyle w:val="bumpedfont15"/>
          <w:b/>
          <w:bCs/>
          <w:sz w:val="28"/>
          <w:szCs w:val="28"/>
        </w:rPr>
        <w:t>Fee</w:t>
      </w:r>
    </w:p>
    <w:p w14:paraId="0EF29F44" w14:textId="4C8C486B" w:rsidR="006B294B" w:rsidRPr="00CE325D" w:rsidRDefault="006B294B" w:rsidP="006B294B">
      <w:pPr>
        <w:pStyle w:val="s14"/>
        <w:ind w:left="720"/>
        <w:rPr>
          <w:rFonts w:asciiTheme="minorHAnsi" w:hAnsiTheme="minorHAnsi"/>
          <w:sz w:val="24"/>
          <w:szCs w:val="24"/>
        </w:rPr>
      </w:pPr>
      <w:r w:rsidRPr="006B294B">
        <w:rPr>
          <w:rStyle w:val="bumpedfont15"/>
          <w:sz w:val="24"/>
          <w:szCs w:val="24"/>
        </w:rPr>
        <w:t xml:space="preserve">Fee will apply to undertake and manage the consultation procedures under </w:t>
      </w:r>
      <w:r w:rsidRPr="00CE325D">
        <w:rPr>
          <w:rStyle w:val="bumpedfont15"/>
          <w:rFonts w:asciiTheme="minorHAnsi" w:hAnsiTheme="minorHAnsi"/>
          <w:sz w:val="24"/>
          <w:szCs w:val="24"/>
        </w:rPr>
        <w:t xml:space="preserve">Section 20 of the Landlord and Tenant Act 1985. An additional management fee will </w:t>
      </w:r>
      <w:r w:rsidRPr="00CE325D">
        <w:rPr>
          <w:rStyle w:val="bumpedfont15"/>
          <w:rFonts w:asciiTheme="minorHAnsi" w:hAnsiTheme="minorHAnsi"/>
          <w:sz w:val="24"/>
          <w:szCs w:val="24"/>
        </w:rPr>
        <w:lastRenderedPageBreak/>
        <w:t>be charged in accordance with the good practice guidelines of ARMA and the RICS Service Charge Residential Management Code 3</w:t>
      </w:r>
      <w:r w:rsidRPr="00CE325D">
        <w:rPr>
          <w:rStyle w:val="bumpedfont15"/>
          <w:rFonts w:asciiTheme="minorHAnsi" w:hAnsiTheme="minorHAnsi"/>
          <w:sz w:val="24"/>
          <w:szCs w:val="24"/>
          <w:vertAlign w:val="superscript"/>
        </w:rPr>
        <w:t>rd</w:t>
      </w:r>
      <w:r w:rsidRPr="00CE325D">
        <w:rPr>
          <w:rStyle w:val="bumpedfont15"/>
          <w:rFonts w:asciiTheme="minorHAnsi" w:hAnsiTheme="minorHAnsi"/>
          <w:sz w:val="24"/>
          <w:szCs w:val="24"/>
        </w:rPr>
        <w:t> Edition.</w:t>
      </w:r>
    </w:p>
    <w:p w14:paraId="0CD49DAB" w14:textId="77777777" w:rsidR="006B294B" w:rsidRPr="00CE325D" w:rsidRDefault="006B294B" w:rsidP="006B294B">
      <w:pPr>
        <w:pStyle w:val="s14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CE325D">
        <w:rPr>
          <w:rStyle w:val="bumpedfont15"/>
          <w:rFonts w:asciiTheme="minorHAnsi" w:hAnsiTheme="minorHAnsi"/>
          <w:sz w:val="24"/>
          <w:szCs w:val="24"/>
        </w:rPr>
        <w:t>The Fee covers the property manager’s time and all additional administration costs incurred in implementing, overseeing and handling the Section 20 process through to completion. </w:t>
      </w:r>
    </w:p>
    <w:p w14:paraId="53B151CE" w14:textId="77777777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rFonts w:asciiTheme="minorHAnsi" w:hAnsiTheme="minorHAnsi"/>
          <w:sz w:val="24"/>
          <w:szCs w:val="24"/>
        </w:rPr>
      </w:pPr>
      <w:r w:rsidRPr="00CE325D">
        <w:rPr>
          <w:rFonts w:asciiTheme="minorHAnsi" w:hAnsiTheme="minorHAnsi"/>
          <w:sz w:val="24"/>
          <w:szCs w:val="24"/>
        </w:rPr>
        <w:t> </w:t>
      </w:r>
    </w:p>
    <w:p w14:paraId="549C3DE0" w14:textId="76430264" w:rsidR="006B294B" w:rsidRPr="00CE325D" w:rsidRDefault="006B294B" w:rsidP="006B294B">
      <w:pPr>
        <w:pStyle w:val="s14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CE325D">
        <w:rPr>
          <w:rStyle w:val="bumpedfont15"/>
          <w:rFonts w:asciiTheme="minorHAnsi" w:hAnsiTheme="minorHAnsi"/>
          <w:sz w:val="24"/>
          <w:szCs w:val="24"/>
        </w:rPr>
        <w:t>Fees are calculated on a fee scale percentage of the total value of the major works, in line with industry rates.</w:t>
      </w:r>
    </w:p>
    <w:p w14:paraId="08FEA5C0" w14:textId="77777777" w:rsidR="006B294B" w:rsidRDefault="006B294B" w:rsidP="006B294B">
      <w:pPr>
        <w:pStyle w:val="s14"/>
        <w:spacing w:before="0" w:beforeAutospacing="0" w:after="0" w:afterAutospacing="0"/>
        <w:ind w:left="540"/>
        <w:jc w:val="both"/>
        <w:rPr>
          <w:sz w:val="27"/>
          <w:szCs w:val="27"/>
        </w:rPr>
      </w:pPr>
    </w:p>
    <w:p w14:paraId="2C297564" w14:textId="77777777" w:rsidR="006B294B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sz w:val="27"/>
          <w:szCs w:val="27"/>
        </w:rPr>
      </w:pPr>
      <w:r>
        <w:rPr>
          <w:rStyle w:val="bumpedfont15"/>
          <w:b/>
          <w:bCs/>
          <w:sz w:val="27"/>
          <w:szCs w:val="27"/>
        </w:rPr>
        <w:t>Value of Works                                        Fee Scale %</w:t>
      </w:r>
    </w:p>
    <w:p w14:paraId="4D895179" w14:textId="77777777" w:rsidR="006B294B" w:rsidRDefault="006B294B" w:rsidP="006B294B">
      <w:pPr>
        <w:pStyle w:val="s14"/>
        <w:spacing w:before="0" w:beforeAutospacing="0" w:after="0" w:afterAutospacing="0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E21F7EF" w14:textId="2F6CC89F" w:rsidR="006B294B" w:rsidRPr="00CE325D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rStyle w:val="bumpedfont15"/>
          <w:sz w:val="24"/>
          <w:szCs w:val="24"/>
        </w:rPr>
      </w:pPr>
      <w:r w:rsidRPr="00CE325D">
        <w:rPr>
          <w:rStyle w:val="bumpedfont15"/>
          <w:sz w:val="24"/>
          <w:szCs w:val="24"/>
        </w:rPr>
        <w:t xml:space="preserve">Up to £50,000                                                </w:t>
      </w:r>
      <w:r w:rsidR="00CE325D">
        <w:rPr>
          <w:rStyle w:val="bumpedfont15"/>
          <w:sz w:val="24"/>
          <w:szCs w:val="24"/>
        </w:rPr>
        <w:tab/>
      </w:r>
      <w:r w:rsidRPr="00CE325D">
        <w:rPr>
          <w:rStyle w:val="bumpedfont15"/>
          <w:sz w:val="24"/>
          <w:szCs w:val="24"/>
        </w:rPr>
        <w:t>7.5%    </w:t>
      </w:r>
    </w:p>
    <w:p w14:paraId="3F324CF2" w14:textId="21FDA176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sz w:val="24"/>
          <w:szCs w:val="24"/>
        </w:rPr>
      </w:pPr>
      <w:r w:rsidRPr="00CE325D">
        <w:rPr>
          <w:rStyle w:val="bumpedfont15"/>
          <w:sz w:val="24"/>
          <w:szCs w:val="24"/>
        </w:rPr>
        <w:t xml:space="preserve">                                                                                   </w:t>
      </w:r>
    </w:p>
    <w:p w14:paraId="07BEB809" w14:textId="2B1C3ECD" w:rsidR="006B294B" w:rsidRPr="00CE325D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sz w:val="24"/>
          <w:szCs w:val="24"/>
        </w:rPr>
      </w:pPr>
      <w:r w:rsidRPr="00CE325D">
        <w:rPr>
          <w:rStyle w:val="bumpedfont15"/>
          <w:sz w:val="24"/>
          <w:szCs w:val="24"/>
        </w:rPr>
        <w:t xml:space="preserve">£50,001 to £100,000                                   </w:t>
      </w:r>
      <w:r w:rsidR="00CE325D">
        <w:rPr>
          <w:rStyle w:val="bumpedfont15"/>
          <w:sz w:val="24"/>
          <w:szCs w:val="24"/>
        </w:rPr>
        <w:tab/>
      </w:r>
      <w:r w:rsidRPr="00CE325D">
        <w:rPr>
          <w:rStyle w:val="bumpedfont15"/>
          <w:sz w:val="24"/>
          <w:szCs w:val="24"/>
        </w:rPr>
        <w:t>5.0%</w:t>
      </w:r>
    </w:p>
    <w:p w14:paraId="3AA6D5C3" w14:textId="77777777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rFonts w:asciiTheme="minorHAnsi" w:hAnsiTheme="minorHAnsi"/>
          <w:sz w:val="24"/>
          <w:szCs w:val="24"/>
        </w:rPr>
      </w:pPr>
      <w:r w:rsidRPr="00CE325D">
        <w:rPr>
          <w:sz w:val="24"/>
          <w:szCs w:val="24"/>
        </w:rPr>
        <w:t> </w:t>
      </w:r>
    </w:p>
    <w:p w14:paraId="2D635EED" w14:textId="75A21B4E" w:rsidR="006B294B" w:rsidRPr="00CE325D" w:rsidRDefault="006B294B" w:rsidP="006B294B">
      <w:pPr>
        <w:pStyle w:val="s14"/>
        <w:spacing w:before="0" w:beforeAutospacing="0" w:after="0" w:afterAutospacing="0"/>
        <w:ind w:left="540" w:firstLine="180"/>
        <w:jc w:val="both"/>
        <w:rPr>
          <w:rFonts w:asciiTheme="minorHAnsi" w:hAnsiTheme="minorHAnsi"/>
          <w:sz w:val="24"/>
          <w:szCs w:val="24"/>
        </w:rPr>
      </w:pPr>
      <w:r w:rsidRPr="00CE325D">
        <w:rPr>
          <w:rStyle w:val="bumpedfont15"/>
          <w:rFonts w:asciiTheme="minorHAnsi" w:hAnsiTheme="minorHAnsi"/>
          <w:sz w:val="24"/>
          <w:szCs w:val="24"/>
        </w:rPr>
        <w:t xml:space="preserve">£100,001 +                                                     </w:t>
      </w:r>
      <w:r w:rsidR="00CE325D" w:rsidRPr="00CE325D">
        <w:rPr>
          <w:rStyle w:val="bumpedfont15"/>
          <w:rFonts w:asciiTheme="minorHAnsi" w:hAnsiTheme="minorHAnsi"/>
          <w:sz w:val="24"/>
          <w:szCs w:val="24"/>
        </w:rPr>
        <w:tab/>
      </w:r>
      <w:r w:rsidRPr="00CE325D">
        <w:rPr>
          <w:rStyle w:val="bumpedfont15"/>
          <w:rFonts w:asciiTheme="minorHAnsi" w:hAnsiTheme="minorHAnsi"/>
          <w:sz w:val="24"/>
          <w:szCs w:val="24"/>
        </w:rPr>
        <w:t>2.5% </w:t>
      </w:r>
    </w:p>
    <w:p w14:paraId="583D6FB4" w14:textId="77777777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rFonts w:asciiTheme="minorHAnsi" w:hAnsiTheme="minorHAnsi"/>
          <w:sz w:val="24"/>
          <w:szCs w:val="24"/>
        </w:rPr>
      </w:pPr>
      <w:r w:rsidRPr="00CE325D">
        <w:rPr>
          <w:rFonts w:asciiTheme="minorHAnsi" w:hAnsiTheme="minorHAnsi"/>
          <w:sz w:val="24"/>
          <w:szCs w:val="24"/>
        </w:rPr>
        <w:t> </w:t>
      </w:r>
    </w:p>
    <w:p w14:paraId="47F342C7" w14:textId="77777777" w:rsidR="006B294B" w:rsidRPr="00CE325D" w:rsidRDefault="006B294B" w:rsidP="006B294B">
      <w:pPr>
        <w:pStyle w:val="s14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CE325D">
        <w:rPr>
          <w:rStyle w:val="bumpedfont15"/>
          <w:rFonts w:asciiTheme="minorHAnsi" w:hAnsiTheme="minorHAnsi"/>
          <w:sz w:val="24"/>
          <w:szCs w:val="24"/>
        </w:rPr>
        <w:t>NB The percentage fees quoted above include disbursements but exclude VAT</w:t>
      </w:r>
    </w:p>
    <w:p w14:paraId="5A55A5D5" w14:textId="77777777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rFonts w:asciiTheme="minorHAnsi" w:hAnsiTheme="minorHAnsi"/>
          <w:sz w:val="24"/>
          <w:szCs w:val="24"/>
        </w:rPr>
      </w:pPr>
      <w:r w:rsidRPr="00CE325D">
        <w:rPr>
          <w:rFonts w:asciiTheme="minorHAnsi" w:hAnsiTheme="minorHAnsi"/>
          <w:sz w:val="24"/>
          <w:szCs w:val="24"/>
        </w:rPr>
        <w:t> </w:t>
      </w:r>
    </w:p>
    <w:p w14:paraId="22C7B88B" w14:textId="1636A1E0" w:rsidR="006B294B" w:rsidRPr="00CE325D" w:rsidRDefault="006B294B" w:rsidP="006B294B">
      <w:pPr>
        <w:pStyle w:val="s14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CE325D">
        <w:rPr>
          <w:rStyle w:val="bumpedfont15"/>
          <w:rFonts w:asciiTheme="minorHAnsi" w:hAnsiTheme="minorHAnsi"/>
          <w:sz w:val="24"/>
          <w:szCs w:val="24"/>
        </w:rPr>
        <w:t>Example total value of major work: £100,000. Fee of 7.5% on the first £50,000 (£3,750) followed by 5.0% on the second instalment of £50,000 (£2,500). Total fee £6,250 + VAT (£7</w:t>
      </w:r>
      <w:r w:rsidR="008E28D4">
        <w:rPr>
          <w:rStyle w:val="bumpedfont15"/>
          <w:rFonts w:asciiTheme="minorHAnsi" w:hAnsiTheme="minorHAnsi"/>
          <w:sz w:val="24"/>
          <w:szCs w:val="24"/>
        </w:rPr>
        <w:t>,</w:t>
      </w:r>
      <w:r w:rsidRPr="00CE325D">
        <w:rPr>
          <w:rStyle w:val="bumpedfont15"/>
          <w:rFonts w:asciiTheme="minorHAnsi" w:hAnsiTheme="minorHAnsi"/>
          <w:sz w:val="24"/>
          <w:szCs w:val="24"/>
        </w:rPr>
        <w:t>500.00).</w:t>
      </w:r>
    </w:p>
    <w:p w14:paraId="62FF7001" w14:textId="77777777" w:rsidR="006B294B" w:rsidRPr="00CE325D" w:rsidRDefault="006B294B" w:rsidP="006B294B">
      <w:pPr>
        <w:pStyle w:val="s14"/>
        <w:spacing w:before="0" w:beforeAutospacing="0" w:after="0" w:afterAutospacing="0"/>
        <w:ind w:left="540"/>
        <w:jc w:val="both"/>
        <w:rPr>
          <w:rFonts w:asciiTheme="minorHAnsi" w:hAnsiTheme="minorHAnsi"/>
          <w:sz w:val="24"/>
          <w:szCs w:val="24"/>
        </w:rPr>
      </w:pPr>
    </w:p>
    <w:p w14:paraId="7C78C973" w14:textId="3CC304CB" w:rsidR="006B294B" w:rsidRPr="00CE325D" w:rsidRDefault="006B294B" w:rsidP="006B294B">
      <w:pPr>
        <w:pStyle w:val="s14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CE325D">
        <w:rPr>
          <w:sz w:val="24"/>
          <w:szCs w:val="24"/>
        </w:rPr>
        <w:t>Section 20 procedure notes accompany “Notice of Intention” when served on leaseholders.</w:t>
      </w:r>
    </w:p>
    <w:p w14:paraId="4189A71B" w14:textId="77777777" w:rsidR="00B43C89" w:rsidRDefault="00B43C89" w:rsidP="00E95AFD">
      <w:pPr>
        <w:pStyle w:val="NoSpacing"/>
        <w:jc w:val="both"/>
        <w:rPr>
          <w:b/>
          <w:sz w:val="28"/>
          <w:szCs w:val="28"/>
        </w:rPr>
      </w:pPr>
    </w:p>
    <w:p w14:paraId="58DC90DF" w14:textId="77777777" w:rsidR="00AE16FC" w:rsidRPr="00113D53" w:rsidRDefault="00AE16FC" w:rsidP="00E95AFD">
      <w:pPr>
        <w:pStyle w:val="NoSpacing"/>
        <w:jc w:val="both"/>
        <w:rPr>
          <w:b/>
          <w:sz w:val="28"/>
          <w:szCs w:val="28"/>
        </w:rPr>
      </w:pPr>
      <w:r w:rsidRPr="00113D53">
        <w:rPr>
          <w:b/>
          <w:sz w:val="28"/>
          <w:szCs w:val="28"/>
        </w:rPr>
        <w:t>Staff Charge Rates</w:t>
      </w:r>
    </w:p>
    <w:p w14:paraId="20AEA197" w14:textId="77777777" w:rsidR="00AE16FC" w:rsidRDefault="00AE16FC" w:rsidP="00E95AFD">
      <w:pPr>
        <w:pStyle w:val="NoSpacing"/>
        <w:jc w:val="both"/>
        <w:rPr>
          <w:sz w:val="24"/>
          <w:szCs w:val="24"/>
        </w:rPr>
      </w:pPr>
    </w:p>
    <w:p w14:paraId="6679EAE1" w14:textId="77777777" w:rsidR="00AE16FC" w:rsidRDefault="00AE16FC" w:rsidP="00AE16FC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£270 (£225 + VAT) per hour</w:t>
      </w:r>
    </w:p>
    <w:p w14:paraId="6E34AF73" w14:textId="77777777" w:rsidR="00AE16FC" w:rsidRDefault="00AE16FC" w:rsidP="00AE16FC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Manager</w:t>
      </w:r>
      <w:r>
        <w:rPr>
          <w:sz w:val="24"/>
          <w:szCs w:val="24"/>
        </w:rPr>
        <w:tab/>
        <w:t xml:space="preserve">£138 (£115 + VAT) per hour </w:t>
      </w:r>
    </w:p>
    <w:p w14:paraId="763BB653" w14:textId="77777777" w:rsidR="00AE16FC" w:rsidRDefault="00AE16FC" w:rsidP="00AE16FC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Accounts Manager</w:t>
      </w:r>
      <w:r>
        <w:rPr>
          <w:sz w:val="24"/>
          <w:szCs w:val="24"/>
        </w:rPr>
        <w:tab/>
        <w:t>£120 (£100 + VAT) per hour</w:t>
      </w:r>
    </w:p>
    <w:p w14:paraId="6BCE8F8D" w14:textId="77777777" w:rsidR="00AE16FC" w:rsidRDefault="00AE16FC" w:rsidP="00AE16FC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£60 (   £50 + VAT) per hour</w:t>
      </w:r>
    </w:p>
    <w:p w14:paraId="6E6608BC" w14:textId="77777777" w:rsidR="00AE16FC" w:rsidRDefault="00AE16FC" w:rsidP="00AE16FC">
      <w:pPr>
        <w:pStyle w:val="NoSpacing"/>
        <w:ind w:left="1446"/>
        <w:jc w:val="both"/>
        <w:rPr>
          <w:sz w:val="24"/>
          <w:szCs w:val="24"/>
        </w:rPr>
      </w:pPr>
    </w:p>
    <w:p w14:paraId="5B69FF85" w14:textId="77777777" w:rsidR="00843CB3" w:rsidRPr="00113D53" w:rsidRDefault="00843CB3" w:rsidP="00AE16FC">
      <w:pPr>
        <w:pStyle w:val="NoSpacing"/>
        <w:jc w:val="both"/>
        <w:rPr>
          <w:b/>
          <w:sz w:val="20"/>
          <w:szCs w:val="20"/>
        </w:rPr>
      </w:pPr>
      <w:r w:rsidRPr="00113D53">
        <w:rPr>
          <w:b/>
          <w:sz w:val="20"/>
          <w:szCs w:val="20"/>
        </w:rPr>
        <w:t>ADMINISTRATION CHARGES – Summary of Tenants’ Rights &amp; Obligations</w:t>
      </w:r>
    </w:p>
    <w:p w14:paraId="0C7C6876" w14:textId="77777777" w:rsidR="00843CB3" w:rsidRPr="00113D53" w:rsidRDefault="00843CB3" w:rsidP="00AE16FC">
      <w:pPr>
        <w:pStyle w:val="NoSpacing"/>
        <w:jc w:val="both"/>
        <w:rPr>
          <w:sz w:val="20"/>
          <w:szCs w:val="20"/>
        </w:rPr>
      </w:pPr>
    </w:p>
    <w:p w14:paraId="1BC033DD" w14:textId="77777777" w:rsidR="00843CB3" w:rsidRPr="00113D53" w:rsidRDefault="00C72CD2" w:rsidP="00AE16FC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1.</w:t>
      </w:r>
      <w:r w:rsidRPr="00113D53">
        <w:rPr>
          <w:sz w:val="20"/>
          <w:szCs w:val="20"/>
        </w:rPr>
        <w:tab/>
        <w:t xml:space="preserve">This summary, which briefly sets out your rights and obligations in relation to administrative charges,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must by law accompany a demand for administration charges. Unless a summary is sent to you with a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demand, you may withhold the administration charge. This summary does not give a full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interpretation of the law and if you are in any doubt as to your rights and obligations, you should seek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independent advice.</w:t>
      </w:r>
    </w:p>
    <w:p w14:paraId="37925338" w14:textId="77777777" w:rsidR="00C72CD2" w:rsidRPr="00113D53" w:rsidRDefault="00C72CD2" w:rsidP="00AE16FC">
      <w:pPr>
        <w:pStyle w:val="NoSpacing"/>
        <w:jc w:val="both"/>
        <w:rPr>
          <w:sz w:val="20"/>
          <w:szCs w:val="20"/>
        </w:rPr>
      </w:pPr>
    </w:p>
    <w:p w14:paraId="038F4C16" w14:textId="77777777" w:rsidR="00C72CD2" w:rsidRPr="00113D53" w:rsidRDefault="00C72CD2" w:rsidP="00AE16FC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2.</w:t>
      </w:r>
      <w:r w:rsidRPr="00113D53">
        <w:rPr>
          <w:sz w:val="20"/>
          <w:szCs w:val="20"/>
        </w:rPr>
        <w:tab/>
        <w:t xml:space="preserve">An administration charge is an amount which may be payable by you as part of or in addition to the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rent directly or indirectly: -</w:t>
      </w:r>
    </w:p>
    <w:p w14:paraId="2B669912" w14:textId="77777777" w:rsidR="00C72CD2" w:rsidRPr="00113D53" w:rsidRDefault="00C72CD2" w:rsidP="00C72CD2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for or in connection with the grant of an approval under your Lease, or an application for such approval.</w:t>
      </w:r>
    </w:p>
    <w:p w14:paraId="1A0B2068" w14:textId="77777777" w:rsidR="00C72CD2" w:rsidRPr="00113D53" w:rsidRDefault="00C72CD2" w:rsidP="00C72CD2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for or in connection with the provision of information or documents in respect of your failure to make any payment due under your Lease, or in connection with a breach of a covenant or condition of your Lease.</w:t>
      </w:r>
    </w:p>
    <w:p w14:paraId="37E6F998" w14:textId="77777777" w:rsidR="00C72CD2" w:rsidRPr="00113D53" w:rsidRDefault="00C710D9" w:rsidP="00C72CD2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A33682" w:rsidRPr="00113D53">
        <w:rPr>
          <w:sz w:val="20"/>
          <w:szCs w:val="20"/>
        </w:rPr>
        <w:t xml:space="preserve">If you are liable to pay an administrative charge, it is payable only to the extent that the amount is </w:t>
      </w:r>
      <w:r>
        <w:rPr>
          <w:sz w:val="20"/>
          <w:szCs w:val="20"/>
        </w:rPr>
        <w:tab/>
      </w:r>
      <w:r w:rsidR="00A33682" w:rsidRPr="00113D53">
        <w:rPr>
          <w:sz w:val="20"/>
          <w:szCs w:val="20"/>
        </w:rPr>
        <w:t>reasonable.</w:t>
      </w:r>
    </w:p>
    <w:p w14:paraId="3301FE75" w14:textId="77777777" w:rsidR="00A33682" w:rsidRPr="00113D53" w:rsidRDefault="00A33682" w:rsidP="00C72CD2">
      <w:pPr>
        <w:pStyle w:val="NoSpacing"/>
        <w:jc w:val="both"/>
        <w:rPr>
          <w:sz w:val="20"/>
          <w:szCs w:val="20"/>
        </w:rPr>
      </w:pPr>
    </w:p>
    <w:p w14:paraId="6E8B97DB" w14:textId="77777777" w:rsidR="00A33682" w:rsidRPr="00113D53" w:rsidRDefault="00A33682" w:rsidP="00C72CD2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3.</w:t>
      </w:r>
      <w:r w:rsidRPr="00113D53">
        <w:rPr>
          <w:sz w:val="20"/>
          <w:szCs w:val="20"/>
        </w:rPr>
        <w:tab/>
      </w:r>
      <w:r w:rsidR="004D1982" w:rsidRPr="00113D53">
        <w:rPr>
          <w:sz w:val="20"/>
          <w:szCs w:val="20"/>
        </w:rPr>
        <w:t xml:space="preserve">Any provision contained within a grant of a Lease under the right to buy under the Housing Act 1985, </w:t>
      </w:r>
      <w:r w:rsidR="00C710D9">
        <w:rPr>
          <w:sz w:val="20"/>
          <w:szCs w:val="20"/>
        </w:rPr>
        <w:tab/>
      </w:r>
      <w:r w:rsidR="004D1982" w:rsidRPr="00113D53">
        <w:rPr>
          <w:sz w:val="20"/>
          <w:szCs w:val="20"/>
        </w:rPr>
        <w:t>which claims to allow the Landlord to charge a sum for consent or approval, is void.</w:t>
      </w:r>
    </w:p>
    <w:p w14:paraId="7C4DA617" w14:textId="77777777" w:rsidR="004D1982" w:rsidRPr="00113D53" w:rsidRDefault="004D1982" w:rsidP="00C72CD2">
      <w:pPr>
        <w:pStyle w:val="NoSpacing"/>
        <w:jc w:val="both"/>
        <w:rPr>
          <w:sz w:val="20"/>
          <w:szCs w:val="20"/>
        </w:rPr>
      </w:pPr>
    </w:p>
    <w:p w14:paraId="49E9B22C" w14:textId="77777777" w:rsidR="004D1982" w:rsidRPr="00113D53" w:rsidRDefault="004D1982" w:rsidP="00C72CD2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4.</w:t>
      </w:r>
      <w:r w:rsidRPr="00113D53">
        <w:rPr>
          <w:sz w:val="20"/>
          <w:szCs w:val="20"/>
        </w:rPr>
        <w:tab/>
        <w:t xml:space="preserve">You have the right to ask a First-Tier Tribunal whether an administrative charge is payable. You may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make a request before or after you have paid the administration charge. If the Tribunal determines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that the charge is payable, the Tribunal may also determine: -</w:t>
      </w:r>
    </w:p>
    <w:p w14:paraId="25651887" w14:textId="77777777" w:rsidR="004D1982" w:rsidRPr="00113D53" w:rsidRDefault="004D1982" w:rsidP="004D1982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 xml:space="preserve">who should pay the administration </w:t>
      </w:r>
      <w:proofErr w:type="gramStart"/>
      <w:r w:rsidRPr="00113D53">
        <w:rPr>
          <w:sz w:val="20"/>
          <w:szCs w:val="20"/>
        </w:rPr>
        <w:t>charge.</w:t>
      </w:r>
      <w:proofErr w:type="gramEnd"/>
    </w:p>
    <w:p w14:paraId="326AC504" w14:textId="77777777" w:rsidR="004D1982" w:rsidRPr="00113D53" w:rsidRDefault="00007CD4" w:rsidP="004D1982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w</w:t>
      </w:r>
      <w:r w:rsidR="004D1982" w:rsidRPr="00113D53">
        <w:rPr>
          <w:sz w:val="20"/>
          <w:szCs w:val="20"/>
        </w:rPr>
        <w:t xml:space="preserve">ho it should be paid </w:t>
      </w:r>
      <w:proofErr w:type="gramStart"/>
      <w:r w:rsidR="004D1982" w:rsidRPr="00113D53">
        <w:rPr>
          <w:sz w:val="20"/>
          <w:szCs w:val="20"/>
        </w:rPr>
        <w:t>to.</w:t>
      </w:r>
      <w:proofErr w:type="gramEnd"/>
    </w:p>
    <w:p w14:paraId="4514F95A" w14:textId="77777777" w:rsidR="004D1982" w:rsidRPr="00113D53" w:rsidRDefault="00007CD4" w:rsidP="004D1982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t</w:t>
      </w:r>
      <w:r w:rsidR="004D1982" w:rsidRPr="00113D53">
        <w:rPr>
          <w:sz w:val="20"/>
          <w:szCs w:val="20"/>
        </w:rPr>
        <w:t>he date it should be paid by.</w:t>
      </w:r>
    </w:p>
    <w:p w14:paraId="50AED5CC" w14:textId="77777777" w:rsidR="004D1982" w:rsidRPr="00C710D9" w:rsidRDefault="00007CD4" w:rsidP="004D1982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h</w:t>
      </w:r>
      <w:r w:rsidR="004D1982" w:rsidRPr="00113D53">
        <w:rPr>
          <w:sz w:val="20"/>
          <w:szCs w:val="20"/>
        </w:rPr>
        <w:t>ow it should be paid.</w:t>
      </w:r>
    </w:p>
    <w:p w14:paraId="5E4CE6B9" w14:textId="77777777" w:rsidR="004D1982" w:rsidRPr="00113D53" w:rsidRDefault="004D1982" w:rsidP="004D1982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ab/>
        <w:t>However, you do not have this right where: -</w:t>
      </w:r>
    </w:p>
    <w:p w14:paraId="473C2B76" w14:textId="77777777" w:rsidR="004D1982" w:rsidRPr="00113D53" w:rsidRDefault="004D1982" w:rsidP="004D1982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a matter has been agreed or admitted by you.</w:t>
      </w:r>
    </w:p>
    <w:p w14:paraId="6A5C290D" w14:textId="77777777" w:rsidR="004D1982" w:rsidRPr="00113D53" w:rsidRDefault="004D1982" w:rsidP="004D1982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 xml:space="preserve">a matter has </w:t>
      </w:r>
      <w:proofErr w:type="gramStart"/>
      <w:r w:rsidRPr="00113D53">
        <w:rPr>
          <w:sz w:val="20"/>
          <w:szCs w:val="20"/>
        </w:rPr>
        <w:t>been, or</w:t>
      </w:r>
      <w:proofErr w:type="gramEnd"/>
      <w:r w:rsidRPr="00113D53">
        <w:rPr>
          <w:sz w:val="20"/>
          <w:szCs w:val="20"/>
        </w:rPr>
        <w:t xml:space="preserve"> is to be referred to arbitration or has been determined by arbitration and you agreed to go to arbitration after the disagreement about the administration charge arose.</w:t>
      </w:r>
    </w:p>
    <w:p w14:paraId="6C9FDA18" w14:textId="77777777" w:rsidR="004D1982" w:rsidRPr="00113D53" w:rsidRDefault="004D1982" w:rsidP="004D1982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113D53">
        <w:rPr>
          <w:sz w:val="20"/>
          <w:szCs w:val="20"/>
        </w:rPr>
        <w:t>a</w:t>
      </w:r>
      <w:r w:rsidR="00113D53" w:rsidRPr="00113D53">
        <w:rPr>
          <w:sz w:val="20"/>
          <w:szCs w:val="20"/>
        </w:rPr>
        <w:t xml:space="preserve"> matter has been decided by a C</w:t>
      </w:r>
      <w:r w:rsidRPr="00113D53">
        <w:rPr>
          <w:sz w:val="20"/>
          <w:szCs w:val="20"/>
        </w:rPr>
        <w:t>ourt.</w:t>
      </w:r>
    </w:p>
    <w:p w14:paraId="4B7ECD05" w14:textId="77777777" w:rsidR="004D1982" w:rsidRPr="00113D53" w:rsidRDefault="004D1982" w:rsidP="004D1982">
      <w:pPr>
        <w:pStyle w:val="NoSpacing"/>
        <w:jc w:val="both"/>
        <w:rPr>
          <w:sz w:val="20"/>
          <w:szCs w:val="20"/>
        </w:rPr>
      </w:pPr>
    </w:p>
    <w:p w14:paraId="5A8C0DDC" w14:textId="77777777" w:rsidR="00AE16FC" w:rsidRPr="00113D53" w:rsidRDefault="004D1982" w:rsidP="00E95AFD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5.</w:t>
      </w:r>
      <w:r w:rsidRPr="00113D53">
        <w:rPr>
          <w:sz w:val="20"/>
          <w:szCs w:val="20"/>
        </w:rPr>
        <w:tab/>
        <w:t xml:space="preserve">You have the right to apply to a First-Tier Tribunal for an order varying the Lease on the grounds that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any administration charge specified in the Lease</w:t>
      </w:r>
      <w:r w:rsidR="00007CD4" w:rsidRPr="00113D53">
        <w:rPr>
          <w:sz w:val="20"/>
          <w:szCs w:val="20"/>
        </w:rPr>
        <w:t xml:space="preserve">, or any formula specified in the Lease for calculating </w:t>
      </w:r>
      <w:r w:rsidR="00C710D9">
        <w:rPr>
          <w:sz w:val="20"/>
          <w:szCs w:val="20"/>
        </w:rPr>
        <w:tab/>
      </w:r>
      <w:r w:rsidR="00007CD4" w:rsidRPr="00113D53">
        <w:rPr>
          <w:sz w:val="20"/>
          <w:szCs w:val="20"/>
        </w:rPr>
        <w:t>an administration charge is unreasonable.</w:t>
      </w:r>
    </w:p>
    <w:p w14:paraId="49FC90FB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</w:p>
    <w:p w14:paraId="7952C1C6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6.</w:t>
      </w:r>
      <w:r w:rsidRPr="00113D53">
        <w:rPr>
          <w:sz w:val="20"/>
          <w:szCs w:val="20"/>
        </w:rPr>
        <w:tab/>
        <w:t xml:space="preserve">Where you seek a determination or order from the First-Tier Tribunal, you will have to pay an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application fee and, where the matter proceeds to an oral hearing, a hearing fee unless you qualify for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fee remission or exemption. Making such an application may incur additional costs, such as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professional fees, which you may have to pay.</w:t>
      </w:r>
    </w:p>
    <w:p w14:paraId="76E0CBE7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</w:p>
    <w:p w14:paraId="28FB4A3D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7.</w:t>
      </w:r>
      <w:r w:rsidRPr="00113D53">
        <w:rPr>
          <w:sz w:val="20"/>
          <w:szCs w:val="20"/>
        </w:rPr>
        <w:tab/>
        <w:t xml:space="preserve">The First-Tier Tribunal and the Upper Tribunal (in determining an appeal against a decision of the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First-Tier Tribunal) have the power to award costs in accordance with section 29 of the Tribunals,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Courts &amp; Enforcement Act 2007.</w:t>
      </w:r>
    </w:p>
    <w:p w14:paraId="4B5BE099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</w:p>
    <w:p w14:paraId="1EC430A4" w14:textId="77777777" w:rsidR="00007CD4" w:rsidRPr="00113D53" w:rsidRDefault="00007CD4" w:rsidP="00E95AFD">
      <w:pPr>
        <w:pStyle w:val="NoSpacing"/>
        <w:jc w:val="both"/>
        <w:rPr>
          <w:sz w:val="20"/>
          <w:szCs w:val="20"/>
        </w:rPr>
      </w:pPr>
      <w:r w:rsidRPr="00113D53">
        <w:rPr>
          <w:sz w:val="20"/>
          <w:szCs w:val="20"/>
        </w:rPr>
        <w:t>8.</w:t>
      </w:r>
      <w:r w:rsidRPr="00113D53">
        <w:rPr>
          <w:sz w:val="20"/>
          <w:szCs w:val="20"/>
        </w:rPr>
        <w:tab/>
        <w:t xml:space="preserve">Your Lease may give your Landlord a right of re-entry or forfeiture where you have failed to pay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charges which are properly due under the Lease. However, to exercise this right, the Landlord must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meet all the legal requirements and obtain a Court Order. A Court Order will only be granted if you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have admitted you are liable to pay the amount or</w:t>
      </w:r>
      <w:r w:rsidR="00113D53" w:rsidRPr="00113D53">
        <w:rPr>
          <w:sz w:val="20"/>
          <w:szCs w:val="20"/>
        </w:rPr>
        <w:t xml:space="preserve"> it is finally determined by a C</w:t>
      </w:r>
      <w:r w:rsidRPr="00113D53">
        <w:rPr>
          <w:sz w:val="20"/>
          <w:szCs w:val="20"/>
        </w:rPr>
        <w:t xml:space="preserve">ourt, a Tribunal, or by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 xml:space="preserve">arbitration that the amount is due. The Court has a wide discretion in granting such an Order and it </w:t>
      </w:r>
      <w:r w:rsidR="00C710D9">
        <w:rPr>
          <w:sz w:val="20"/>
          <w:szCs w:val="20"/>
        </w:rPr>
        <w:tab/>
      </w:r>
      <w:r w:rsidRPr="00113D53">
        <w:rPr>
          <w:sz w:val="20"/>
          <w:szCs w:val="20"/>
        </w:rPr>
        <w:t>will take into account all of the circumstances of the case.</w:t>
      </w:r>
    </w:p>
    <w:sectPr w:rsidR="00007CD4" w:rsidRPr="00113D53" w:rsidSect="00307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3526"/>
    <w:multiLevelType w:val="hybridMultilevel"/>
    <w:tmpl w:val="86FA943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EC7532F"/>
    <w:multiLevelType w:val="hybridMultilevel"/>
    <w:tmpl w:val="EDE03DD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1AF4E21"/>
    <w:multiLevelType w:val="hybridMultilevel"/>
    <w:tmpl w:val="0E121D38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46C182F"/>
    <w:multiLevelType w:val="hybridMultilevel"/>
    <w:tmpl w:val="12B06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429C6"/>
    <w:multiLevelType w:val="hybridMultilevel"/>
    <w:tmpl w:val="835CF77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5D70753"/>
    <w:multiLevelType w:val="hybridMultilevel"/>
    <w:tmpl w:val="7C0ECA1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9CC5868"/>
    <w:multiLevelType w:val="hybridMultilevel"/>
    <w:tmpl w:val="BE34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A"/>
    <w:rsid w:val="00007CD4"/>
    <w:rsid w:val="000C62E6"/>
    <w:rsid w:val="00113D53"/>
    <w:rsid w:val="00142753"/>
    <w:rsid w:val="00180ADA"/>
    <w:rsid w:val="002D521D"/>
    <w:rsid w:val="00307BCB"/>
    <w:rsid w:val="004737E5"/>
    <w:rsid w:val="00497223"/>
    <w:rsid w:val="004D1982"/>
    <w:rsid w:val="00597847"/>
    <w:rsid w:val="005A283E"/>
    <w:rsid w:val="0061407A"/>
    <w:rsid w:val="006B294B"/>
    <w:rsid w:val="006B75CA"/>
    <w:rsid w:val="00707A54"/>
    <w:rsid w:val="0071456E"/>
    <w:rsid w:val="007D0F80"/>
    <w:rsid w:val="00843CB3"/>
    <w:rsid w:val="008D2A41"/>
    <w:rsid w:val="008E28D4"/>
    <w:rsid w:val="00937B89"/>
    <w:rsid w:val="00964E22"/>
    <w:rsid w:val="00A068A5"/>
    <w:rsid w:val="00A16BAA"/>
    <w:rsid w:val="00A33682"/>
    <w:rsid w:val="00A564B5"/>
    <w:rsid w:val="00AE16FC"/>
    <w:rsid w:val="00B43C89"/>
    <w:rsid w:val="00BE69C6"/>
    <w:rsid w:val="00C710D9"/>
    <w:rsid w:val="00C72CD2"/>
    <w:rsid w:val="00CE325D"/>
    <w:rsid w:val="00CF4A71"/>
    <w:rsid w:val="00D3732B"/>
    <w:rsid w:val="00D97FAD"/>
    <w:rsid w:val="00DE7C60"/>
    <w:rsid w:val="00E87705"/>
    <w:rsid w:val="00E9013D"/>
    <w:rsid w:val="00E95AFD"/>
    <w:rsid w:val="00EC5DC7"/>
    <w:rsid w:val="00F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6C42"/>
  <w15:docId w15:val="{B8987E05-A173-4ABA-AF71-93D3B09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B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89"/>
    <w:rPr>
      <w:rFonts w:ascii="Tahoma" w:hAnsi="Tahoma" w:cs="Tahoma"/>
      <w:sz w:val="16"/>
      <w:szCs w:val="16"/>
    </w:rPr>
  </w:style>
  <w:style w:type="paragraph" w:customStyle="1" w:styleId="s14">
    <w:name w:val="s14"/>
    <w:basedOn w:val="Normal"/>
    <w:rsid w:val="006B29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bumpedfont15">
    <w:name w:val="bumpedfont15"/>
    <w:basedOn w:val="DefaultParagraphFont"/>
    <w:rsid w:val="006B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69AB-8E4E-4C69-A043-4CE2049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Chick</dc:creator>
  <cp:lastModifiedBy>Judy Wyatt</cp:lastModifiedBy>
  <cp:revision>2</cp:revision>
  <cp:lastPrinted>2020-02-10T14:55:00Z</cp:lastPrinted>
  <dcterms:created xsi:type="dcterms:W3CDTF">2020-04-20T13:33:00Z</dcterms:created>
  <dcterms:modified xsi:type="dcterms:W3CDTF">2020-04-20T13:33:00Z</dcterms:modified>
</cp:coreProperties>
</file>